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A3F0E" w14:textId="77777777" w:rsidR="00414806" w:rsidRPr="00833F29" w:rsidRDefault="00414806" w:rsidP="00182FB1">
      <w:pPr>
        <w:rPr>
          <w:lang w:val="en-US"/>
        </w:rPr>
      </w:pPr>
    </w:p>
    <w:p w14:paraId="5DAA060E" w14:textId="04F3E895" w:rsidR="007A51CE" w:rsidRPr="00D624A2" w:rsidRDefault="007A51CE" w:rsidP="007A51CE">
      <w:pPr>
        <w:pStyle w:val="Title"/>
      </w:pPr>
      <w:r w:rsidRPr="00D624A2">
        <w:t xml:space="preserve">Industrial and </w:t>
      </w:r>
      <w:r w:rsidR="00C26694" w:rsidRPr="00D624A2">
        <w:t>S</w:t>
      </w:r>
      <w:r w:rsidRPr="00D624A2">
        <w:t>cientific applications for benchmarking approximate computing strategies</w:t>
      </w:r>
    </w:p>
    <w:p w14:paraId="5FAB7F2D" w14:textId="3AC2724B" w:rsidR="00182FB1" w:rsidRPr="00D624A2" w:rsidRDefault="00182FB1" w:rsidP="00182FB1"/>
    <w:p w14:paraId="6267323B" w14:textId="254680E1" w:rsidR="005568F6" w:rsidRPr="00D624A2" w:rsidRDefault="005568F6" w:rsidP="00182FB1">
      <w:pPr>
        <w:rPr>
          <w:b/>
          <w:bCs/>
        </w:rPr>
      </w:pPr>
      <w:r w:rsidRPr="00D624A2">
        <w:rPr>
          <w:b/>
          <w:bCs/>
        </w:rPr>
        <w:t>Basic information:</w:t>
      </w:r>
    </w:p>
    <w:p w14:paraId="28AA0D00" w14:textId="256AA4C3" w:rsidR="005568F6" w:rsidRPr="00D624A2" w:rsidRDefault="005568F6" w:rsidP="005568F6">
      <w:r w:rsidRPr="00D624A2">
        <w:t xml:space="preserve">Applications are invited for 15 full-time PhD student positions (called </w:t>
      </w:r>
      <w:proofErr w:type="gramStart"/>
      <w:r w:rsidRPr="00D624A2">
        <w:t>Early Stage</w:t>
      </w:r>
      <w:proofErr w:type="gramEnd"/>
      <w:r w:rsidRPr="00D624A2">
        <w:t xml:space="preserve"> Researchers or ESR) for PhD degrees for 36 months. The positions are offered within the </w:t>
      </w:r>
      <w:r w:rsidR="00E01BB2" w:rsidRPr="00D624A2">
        <w:rPr>
          <w:iCs/>
        </w:rPr>
        <w:t>Approximate Computing for Power and Energy Optimisation</w:t>
      </w:r>
      <w:r w:rsidR="00E01BB2" w:rsidRPr="00D624A2">
        <w:t xml:space="preserve"> (</w:t>
      </w:r>
      <w:r w:rsidRPr="00D624A2">
        <w:t>APROPOS</w:t>
      </w:r>
      <w:r w:rsidR="00E01BB2" w:rsidRPr="00D624A2">
        <w:t>)</w:t>
      </w:r>
      <w:r w:rsidRPr="00D624A2">
        <w:t xml:space="preserve"> International Training Network action of the highly appreciated EU-funded Marie Skłodowska Curie grants. The positions are fully funded for a 36-month period. You can choose your position in one of </w:t>
      </w:r>
      <w:r w:rsidR="009A406F" w:rsidRPr="00D624A2">
        <w:t xml:space="preserve">14 </w:t>
      </w:r>
      <w:r w:rsidRPr="00D624A2">
        <w:t>top-level universities</w:t>
      </w:r>
      <w:r w:rsidR="009A406F" w:rsidRPr="00D624A2">
        <w:t xml:space="preserve"> and companies</w:t>
      </w:r>
      <w:r w:rsidRPr="00D624A2">
        <w:t xml:space="preserve"> in </w:t>
      </w:r>
      <w:r w:rsidR="00833F29" w:rsidRPr="00D624A2">
        <w:t>Europe</w:t>
      </w:r>
      <w:r w:rsidRPr="00D624A2">
        <w:t xml:space="preserve"> and complement your experience within periods </w:t>
      </w:r>
      <w:r w:rsidR="00833F29" w:rsidRPr="00D624A2">
        <w:t xml:space="preserve">from 3 </w:t>
      </w:r>
      <w:r w:rsidRPr="00D624A2">
        <w:t>to</w:t>
      </w:r>
      <w:r w:rsidR="00272021" w:rsidRPr="00D624A2">
        <w:t xml:space="preserve"> 9</w:t>
      </w:r>
      <w:r w:rsidRPr="00D624A2">
        <w:t xml:space="preserve"> months of </w:t>
      </w:r>
      <w:r w:rsidR="009A406F" w:rsidRPr="00D624A2">
        <w:t>cross-sector</w:t>
      </w:r>
      <w:r w:rsidRPr="00D624A2">
        <w:t xml:space="preserve"> secondments by working with the highly committed industrial partners of the</w:t>
      </w:r>
      <w:r w:rsidR="00833F29" w:rsidRPr="00D624A2">
        <w:t xml:space="preserve"> action</w:t>
      </w:r>
      <w:r w:rsidRPr="00D624A2">
        <w:t xml:space="preserve">. You are encouraged to apply for up to </w:t>
      </w:r>
      <w:r w:rsidR="008E4ACB" w:rsidRPr="00D624A2">
        <w:t xml:space="preserve">three </w:t>
      </w:r>
      <w:r w:rsidRPr="00D624A2">
        <w:t>positions within APROPOS network if you believe your profile is suitable for multiple topics. A separate application is needed for each position in case you apply for multiple positions.</w:t>
      </w:r>
    </w:p>
    <w:p w14:paraId="1EC186A1" w14:textId="77777777" w:rsidR="005568F6" w:rsidRPr="00D624A2" w:rsidRDefault="005568F6" w:rsidP="005568F6"/>
    <w:p w14:paraId="015688DD" w14:textId="02A9AD6D" w:rsidR="005568F6" w:rsidRPr="00D624A2" w:rsidRDefault="005568F6" w:rsidP="005568F6">
      <w:r w:rsidRPr="00D624A2">
        <w:rPr>
          <w:b/>
          <w:bCs/>
        </w:rPr>
        <w:t>APROPOS</w:t>
      </w:r>
      <w:r w:rsidRPr="00D624A2">
        <w:t xml:space="preserve"> is an international, </w:t>
      </w:r>
      <w:r w:rsidR="00C26694" w:rsidRPr="00D624A2">
        <w:t>multidisciplinary,</w:t>
      </w:r>
      <w:r w:rsidRPr="00D624A2">
        <w:t xml:space="preserve"> and multi-sectorial training network programme on approximate computing. APROPOS is funded by the European Union's Horizon 2020 research and innovation programme under the Marie Skłodowska Curie grant agreement No. 956090.</w:t>
      </w:r>
    </w:p>
    <w:p w14:paraId="6FCD2680" w14:textId="77777777" w:rsidR="005568F6" w:rsidRPr="00D624A2" w:rsidRDefault="005568F6" w:rsidP="005568F6"/>
    <w:p w14:paraId="1CCAF435" w14:textId="178D1C8B" w:rsidR="005568F6" w:rsidRPr="00D624A2" w:rsidRDefault="007F18E3" w:rsidP="005568F6">
      <w:r w:rsidRPr="00D624A2">
        <w:t xml:space="preserve">The ESR-specific project is described below. </w:t>
      </w:r>
      <w:r w:rsidR="005568F6" w:rsidRPr="00D624A2">
        <w:t>Please read the description carefully before</w:t>
      </w:r>
      <w:r w:rsidR="00A952AB" w:rsidRPr="00D624A2">
        <w:t xml:space="preserve"> applying</w:t>
      </w:r>
      <w:r w:rsidR="005568F6" w:rsidRPr="00D624A2">
        <w:t>.  We recommend you choose the position you apply for based on your technical profile and desired technical expertise, rather than based on the hosting location, as all positions involve high-level research mobility.</w:t>
      </w:r>
    </w:p>
    <w:p w14:paraId="6043FE7C" w14:textId="77777777" w:rsidR="005568F6" w:rsidRPr="00D624A2" w:rsidRDefault="005568F6" w:rsidP="00182FB1">
      <w:pPr>
        <w:rPr>
          <w:b/>
          <w:bCs/>
        </w:rPr>
      </w:pPr>
    </w:p>
    <w:p w14:paraId="74D25904" w14:textId="0891E6A4" w:rsidR="005568F6" w:rsidRPr="00D624A2" w:rsidRDefault="005568F6" w:rsidP="00182FB1">
      <w:pPr>
        <w:rPr>
          <w:b/>
          <w:bCs/>
        </w:rPr>
      </w:pPr>
      <w:r w:rsidRPr="00D624A2">
        <w:rPr>
          <w:b/>
          <w:bCs/>
        </w:rPr>
        <w:t xml:space="preserve">Project information: </w:t>
      </w:r>
    </w:p>
    <w:p w14:paraId="113E1208" w14:textId="487A7AB0" w:rsidR="00272021" w:rsidRPr="00D624A2" w:rsidRDefault="005568F6" w:rsidP="00182FB1">
      <w:pPr>
        <w:rPr>
          <w:iCs/>
        </w:rPr>
      </w:pPr>
      <w:r w:rsidRPr="00D624A2">
        <w:rPr>
          <w:iCs/>
        </w:rPr>
        <w:t xml:space="preserve">APROPOS will train 15 </w:t>
      </w:r>
      <w:proofErr w:type="gramStart"/>
      <w:r w:rsidRPr="00D624A2">
        <w:rPr>
          <w:iCs/>
        </w:rPr>
        <w:t>Early Stage</w:t>
      </w:r>
      <w:proofErr w:type="gramEnd"/>
      <w:r w:rsidRPr="00D624A2">
        <w:rPr>
          <w:iCs/>
        </w:rPr>
        <w:t xml:space="preserve"> Researchers to tackle the challenges of future embedded and high-performance computing by using disruptive methodologies. Following the current trend, by 2040 computers will need more electricity than the world energy resources can generate. On the communications side, energy consumption in mobile broadband networks is comparable to </w:t>
      </w:r>
      <w:r w:rsidR="00272021" w:rsidRPr="00D624A2">
        <w:rPr>
          <w:iCs/>
        </w:rPr>
        <w:t>datacentres</w:t>
      </w:r>
      <w:r w:rsidRPr="00D624A2">
        <w:rPr>
          <w:iCs/>
        </w:rPr>
        <w:t xml:space="preserve">. To make things worse, Internet-of-Things will soon connect 20 to 50 billion devices through wireless networks to the cloud. </w:t>
      </w:r>
    </w:p>
    <w:p w14:paraId="054A68B3" w14:textId="7A44C66E" w:rsidR="00272021" w:rsidRPr="00D624A2" w:rsidRDefault="005568F6" w:rsidP="00182FB1">
      <w:pPr>
        <w:rPr>
          <w:iCs/>
        </w:rPr>
      </w:pPr>
      <w:r w:rsidRPr="00D624A2">
        <w:rPr>
          <w:iCs/>
        </w:rPr>
        <w:t xml:space="preserve">APROPOS aims at decreasing energy consumption in both distributed computing and communications for cloud-based cyber-physical systems. We propose adaptive Approximate Computing to optimize energy-accuracy trade-offs. Luckily, in many parts of the global data acquisition, transfer, computation, and storage systems there exists the possibility to trade off accuracy </w:t>
      </w:r>
      <w:r w:rsidR="00C26694" w:rsidRPr="00D624A2">
        <w:rPr>
          <w:iCs/>
        </w:rPr>
        <w:t>for</w:t>
      </w:r>
      <w:r w:rsidRPr="00D624A2">
        <w:rPr>
          <w:iCs/>
        </w:rPr>
        <w:t xml:space="preserve"> either less power or less time consumed – or both. As examples, numerous sensors are measuring noisy or inexact inputs; the algorithms processing the acquired signals can be stochastic; the applications using the data may be satisfied with an “acceptable” accuracy instead of exact and </w:t>
      </w:r>
      <w:proofErr w:type="gramStart"/>
      <w:r w:rsidRPr="00D624A2">
        <w:rPr>
          <w:iCs/>
        </w:rPr>
        <w:t>absolutely correct</w:t>
      </w:r>
      <w:proofErr w:type="gramEnd"/>
      <w:r w:rsidRPr="00D624A2">
        <w:rPr>
          <w:iCs/>
        </w:rPr>
        <w:t xml:space="preserve"> results; the system may be resilient against occasional errors; and a coarse classification or finding the most probable matches may be enough for a data mining system. By introducing a new dimension, accuracy, to the design optimization, the energy efficiency can even be improved by a factor of 10x-50x.  </w:t>
      </w:r>
    </w:p>
    <w:p w14:paraId="5D117293" w14:textId="318369D3" w:rsidR="005568F6" w:rsidRPr="00D624A2" w:rsidRDefault="00272021" w:rsidP="00182FB1">
      <w:pPr>
        <w:rPr>
          <w:iCs/>
        </w:rPr>
      </w:pPr>
      <w:r w:rsidRPr="00D624A2">
        <w:rPr>
          <w:iCs/>
        </w:rPr>
        <w:t xml:space="preserve">APROPOS </w:t>
      </w:r>
      <w:r w:rsidR="005568F6" w:rsidRPr="00D624A2">
        <w:rPr>
          <w:iCs/>
        </w:rPr>
        <w:t xml:space="preserve">will train the spearheads of the future generation to cope with the technologies, methodologies, and tools for successfully applying Approximate Computing to power and </w:t>
      </w:r>
      <w:r w:rsidR="005568F6" w:rsidRPr="00D624A2">
        <w:rPr>
          <w:iCs/>
        </w:rPr>
        <w:lastRenderedPageBreak/>
        <w:t>energy saving. The training, in this first ever ITN addressing approximate computing, is to a large extent done by researching energy-accuracy trade-offs on circuit, architecture, software, and system-level solutions, bringing together world leading experts from European organizations. In addition, we will provide network-wide and local trainings on the substance and on the complementary skills needed in both industrial and academic work life.</w:t>
      </w:r>
    </w:p>
    <w:p w14:paraId="6439A1B7" w14:textId="77777777" w:rsidR="006A4F66" w:rsidRPr="00D624A2" w:rsidRDefault="006A4F66" w:rsidP="00182FB1"/>
    <w:p w14:paraId="62370CF6" w14:textId="7AF2E56B" w:rsidR="008D6B7B" w:rsidRPr="00D624A2" w:rsidRDefault="00272021" w:rsidP="00182FB1">
      <w:pPr>
        <w:rPr>
          <w:lang w:val="en-US"/>
        </w:rPr>
      </w:pPr>
      <w:r w:rsidRPr="00D624A2">
        <w:rPr>
          <w:b/>
        </w:rPr>
        <w:t xml:space="preserve">ESR </w:t>
      </w:r>
      <w:r w:rsidR="008D6B7B" w:rsidRPr="00D624A2">
        <w:rPr>
          <w:b/>
        </w:rPr>
        <w:t>Host Unit:</w:t>
      </w:r>
      <w:r w:rsidR="008D6B7B" w:rsidRPr="00D624A2">
        <w:t xml:space="preserve"> </w:t>
      </w:r>
      <w:r w:rsidR="007A51CE" w:rsidRPr="00D624A2">
        <w:rPr>
          <w:lang w:val="en-US"/>
        </w:rPr>
        <w:t>KTH – Royal Institute of Technology, Stockholm, Sweden</w:t>
      </w:r>
    </w:p>
    <w:p w14:paraId="7C5BC6B1" w14:textId="77777777" w:rsidR="008D6B7B" w:rsidRPr="00D624A2" w:rsidRDefault="008D6B7B" w:rsidP="00182FB1"/>
    <w:p w14:paraId="5E83F8B2" w14:textId="72846AD9" w:rsidR="008D6B7B" w:rsidRPr="00D624A2" w:rsidRDefault="00272021" w:rsidP="00182FB1">
      <w:pPr>
        <w:rPr>
          <w:b/>
          <w:bCs/>
        </w:rPr>
      </w:pPr>
      <w:r w:rsidRPr="00D624A2">
        <w:rPr>
          <w:b/>
          <w:bCs/>
        </w:rPr>
        <w:t>ESR</w:t>
      </w:r>
      <w:r w:rsidR="00C30C4E" w:rsidRPr="00D624A2">
        <w:rPr>
          <w:b/>
          <w:bCs/>
        </w:rPr>
        <w:t xml:space="preserve"> </w:t>
      </w:r>
      <w:r w:rsidR="007A51CE" w:rsidRPr="00D624A2">
        <w:rPr>
          <w:b/>
          <w:bCs/>
        </w:rPr>
        <w:t>5</w:t>
      </w:r>
      <w:r w:rsidRPr="00D624A2">
        <w:rPr>
          <w:b/>
          <w:bCs/>
        </w:rPr>
        <w:t xml:space="preserve"> </w:t>
      </w:r>
      <w:r w:rsidR="008D6B7B" w:rsidRPr="00D624A2">
        <w:rPr>
          <w:b/>
          <w:bCs/>
        </w:rPr>
        <w:t>Objectives:</w:t>
      </w:r>
    </w:p>
    <w:p w14:paraId="5F2129C9" w14:textId="5468D061" w:rsidR="00B37589" w:rsidRPr="00D624A2" w:rsidRDefault="00B37589" w:rsidP="00B37589">
      <w:pPr>
        <w:pStyle w:val="ListParagraph"/>
        <w:numPr>
          <w:ilvl w:val="0"/>
          <w:numId w:val="12"/>
        </w:numPr>
      </w:pPr>
      <w:r w:rsidRPr="00D624A2">
        <w:t>Develop benchmarks for approximate computing. from computational neuroscience, genomics, augmented reality, control theory and molecular dynamics</w:t>
      </w:r>
    </w:p>
    <w:p w14:paraId="1D4111A0" w14:textId="7D506E29" w:rsidR="00B37589" w:rsidRPr="00D624A2" w:rsidRDefault="00B37589" w:rsidP="00B37589">
      <w:pPr>
        <w:pStyle w:val="ListParagraph"/>
        <w:numPr>
          <w:ilvl w:val="0"/>
          <w:numId w:val="12"/>
        </w:numPr>
      </w:pPr>
      <w:r w:rsidRPr="00D624A2">
        <w:t>Develop metrics to quantify the efficiency and efficacy of approximate computing strategies</w:t>
      </w:r>
      <w:r w:rsidR="00E334AD" w:rsidRPr="00D624A2">
        <w:t xml:space="preserve"> depending on the nature of the application domain</w:t>
      </w:r>
    </w:p>
    <w:p w14:paraId="6A23659E" w14:textId="2D58591C" w:rsidR="00B37589" w:rsidRPr="00D624A2" w:rsidRDefault="00A65C8B" w:rsidP="00B37589">
      <w:pPr>
        <w:pStyle w:val="ListParagraph"/>
        <w:numPr>
          <w:ilvl w:val="0"/>
          <w:numId w:val="12"/>
        </w:numPr>
      </w:pPr>
      <w:r w:rsidRPr="00D624A2">
        <w:t>Develop efficient mapping strategy to the enhanced SiLago framework</w:t>
      </w:r>
      <w:r w:rsidR="00E334AD" w:rsidRPr="00D624A2">
        <w:t xml:space="preserve">. </w:t>
      </w:r>
    </w:p>
    <w:p w14:paraId="3FEF4B70" w14:textId="77777777" w:rsidR="00941E34" w:rsidRPr="00D624A2" w:rsidRDefault="00941E34" w:rsidP="00941E34"/>
    <w:p w14:paraId="15C86A46" w14:textId="6D9F7D6C" w:rsidR="00414806" w:rsidRPr="00D624A2" w:rsidRDefault="00272021" w:rsidP="00182FB1">
      <w:pPr>
        <w:rPr>
          <w:b/>
          <w:bCs/>
        </w:rPr>
      </w:pPr>
      <w:r w:rsidRPr="00D624A2">
        <w:rPr>
          <w:b/>
          <w:bCs/>
        </w:rPr>
        <w:t xml:space="preserve">ESR </w:t>
      </w:r>
      <w:r w:rsidR="008D6B7B" w:rsidRPr="00D624A2">
        <w:rPr>
          <w:b/>
          <w:bCs/>
        </w:rPr>
        <w:t xml:space="preserve">Expected Results: </w:t>
      </w:r>
      <w:r w:rsidR="00414806" w:rsidRPr="00D624A2">
        <w:rPr>
          <w:b/>
          <w:bCs/>
        </w:rPr>
        <w:t xml:space="preserve"> </w:t>
      </w:r>
    </w:p>
    <w:p w14:paraId="5229D8EA" w14:textId="2DA3FA98" w:rsidR="008D6B7B" w:rsidRPr="00D624A2" w:rsidRDefault="00E334AD" w:rsidP="00182FB1">
      <w:r w:rsidRPr="00D624A2">
        <w:t>Benchmarks for approximate computing</w:t>
      </w:r>
    </w:p>
    <w:p w14:paraId="2D42C426" w14:textId="5374A4B7" w:rsidR="00E334AD" w:rsidRPr="00D624A2" w:rsidRDefault="00E334AD" w:rsidP="00182FB1">
      <w:r w:rsidRPr="00D624A2">
        <w:t>Metrics to quantify the efficacy and efficiency of approximate computing strategies</w:t>
      </w:r>
    </w:p>
    <w:p w14:paraId="3F4259A5" w14:textId="77777777" w:rsidR="00E334AD" w:rsidRPr="00D624A2" w:rsidRDefault="00E334AD" w:rsidP="00182FB1">
      <w:r w:rsidRPr="00D624A2">
        <w:t xml:space="preserve">Enhanced the SiLago framework for approximate computing. </w:t>
      </w:r>
    </w:p>
    <w:p w14:paraId="3CDFE2DD" w14:textId="53791BC1" w:rsidR="00E334AD" w:rsidRPr="00D624A2" w:rsidRDefault="00E334AD" w:rsidP="00182FB1">
      <w:r w:rsidRPr="00D624A2">
        <w:t>Benchmarks mapped to the enhanced SiLago framework.</w:t>
      </w:r>
    </w:p>
    <w:p w14:paraId="3B338128" w14:textId="77777777" w:rsidR="00182FB1" w:rsidRPr="00D624A2" w:rsidRDefault="00182FB1" w:rsidP="00182FB1"/>
    <w:p w14:paraId="24BCF582" w14:textId="3133B9E3" w:rsidR="008D6B7B" w:rsidRPr="00D624A2" w:rsidRDefault="008D6B7B" w:rsidP="00182FB1">
      <w:r w:rsidRPr="00D624A2">
        <w:rPr>
          <w:b/>
          <w:bCs/>
        </w:rPr>
        <w:t>Planned secondment(s):</w:t>
      </w:r>
      <w:r w:rsidRPr="00D624A2">
        <w:t xml:space="preserve"> </w:t>
      </w:r>
      <w:proofErr w:type="spellStart"/>
      <w:r w:rsidR="00E334AD" w:rsidRPr="00D624A2">
        <w:t>Dr.</w:t>
      </w:r>
      <w:proofErr w:type="spellEnd"/>
      <w:r w:rsidR="00E334AD" w:rsidRPr="00D624A2">
        <w:t xml:space="preserve"> Manfred Grabherr, </w:t>
      </w:r>
      <w:proofErr w:type="spellStart"/>
      <w:r w:rsidR="00E334AD" w:rsidRPr="00D624A2">
        <w:t>Methority</w:t>
      </w:r>
      <w:proofErr w:type="spellEnd"/>
      <w:r w:rsidR="00E334AD" w:rsidRPr="00D624A2">
        <w:t xml:space="preserve"> AB</w:t>
      </w:r>
      <w:r w:rsidR="00F3221F" w:rsidRPr="00D624A2">
        <w:t>.</w:t>
      </w:r>
      <w:r w:rsidR="00E334AD" w:rsidRPr="00D624A2">
        <w:t xml:space="preserve"> M6. </w:t>
      </w:r>
      <w:proofErr w:type="spellStart"/>
      <w:r w:rsidR="00E334AD" w:rsidRPr="00D624A2">
        <w:t>Dr.</w:t>
      </w:r>
      <w:proofErr w:type="spellEnd"/>
      <w:r w:rsidR="00E334AD" w:rsidRPr="00D624A2">
        <w:t xml:space="preserve"> Fredrik Dahlgren, Ericsson AB. M18.</w:t>
      </w:r>
    </w:p>
    <w:p w14:paraId="267D2AC2" w14:textId="77777777" w:rsidR="008D6B7B" w:rsidRPr="00D624A2" w:rsidRDefault="008D6B7B" w:rsidP="00182FB1"/>
    <w:p w14:paraId="26424684" w14:textId="77777777" w:rsidR="008D6B7B" w:rsidRPr="00D624A2" w:rsidRDefault="008D6B7B" w:rsidP="00182FB1">
      <w:pPr>
        <w:rPr>
          <w:b/>
          <w:bCs/>
        </w:rPr>
      </w:pPr>
      <w:r w:rsidRPr="00D624A2">
        <w:rPr>
          <w:b/>
          <w:bCs/>
        </w:rPr>
        <w:t xml:space="preserve">Supervisory team: </w:t>
      </w:r>
    </w:p>
    <w:p w14:paraId="25BD9E4F" w14:textId="70AE4601" w:rsidR="00F3221F" w:rsidRPr="00D624A2" w:rsidRDefault="00F3221F" w:rsidP="00F3221F">
      <w:pPr>
        <w:pStyle w:val="ListParagraph"/>
        <w:numPr>
          <w:ilvl w:val="0"/>
          <w:numId w:val="10"/>
        </w:numPr>
        <w:rPr>
          <w:lang w:val="fr-FR"/>
        </w:rPr>
      </w:pPr>
      <w:r w:rsidRPr="00D624A2">
        <w:rPr>
          <w:lang w:val="fr-FR"/>
        </w:rPr>
        <w:t xml:space="preserve">Prof. </w:t>
      </w:r>
      <w:r w:rsidR="007A51CE" w:rsidRPr="00D624A2">
        <w:rPr>
          <w:lang w:val="fr-FR"/>
        </w:rPr>
        <w:t>Ahmed Hemani</w:t>
      </w:r>
      <w:r w:rsidRPr="00D624A2">
        <w:rPr>
          <w:lang w:val="fr-FR"/>
        </w:rPr>
        <w:t xml:space="preserve"> (</w:t>
      </w:r>
      <w:r w:rsidR="007A51CE" w:rsidRPr="00D624A2">
        <w:rPr>
          <w:lang w:val="fr-FR"/>
        </w:rPr>
        <w:t>KTH</w:t>
      </w:r>
      <w:r w:rsidRPr="00D624A2">
        <w:rPr>
          <w:lang w:val="fr-FR"/>
        </w:rPr>
        <w:t xml:space="preserve">), </w:t>
      </w:r>
      <w:r w:rsidR="003418A2" w:rsidRPr="00D624A2">
        <w:rPr>
          <w:lang w:val="fr-FR"/>
        </w:rPr>
        <w:t xml:space="preserve">main </w:t>
      </w:r>
      <w:proofErr w:type="spellStart"/>
      <w:r w:rsidR="003418A2" w:rsidRPr="00D624A2">
        <w:rPr>
          <w:lang w:val="fr-FR"/>
        </w:rPr>
        <w:t>supervisor</w:t>
      </w:r>
      <w:proofErr w:type="spellEnd"/>
    </w:p>
    <w:p w14:paraId="68C08055" w14:textId="380DFB25" w:rsidR="002873B3" w:rsidRPr="00D624A2" w:rsidRDefault="002873B3" w:rsidP="00F3221F">
      <w:pPr>
        <w:pStyle w:val="ListParagraph"/>
        <w:numPr>
          <w:ilvl w:val="0"/>
          <w:numId w:val="10"/>
        </w:numPr>
        <w:rPr>
          <w:lang w:val="fr-FR"/>
        </w:rPr>
      </w:pPr>
      <w:proofErr w:type="spellStart"/>
      <w:r w:rsidRPr="00D624A2">
        <w:rPr>
          <w:lang w:val="fr-FR"/>
        </w:rPr>
        <w:t>Docent</w:t>
      </w:r>
      <w:proofErr w:type="spellEnd"/>
      <w:r w:rsidRPr="00D624A2">
        <w:rPr>
          <w:lang w:val="fr-FR"/>
        </w:rPr>
        <w:t xml:space="preserve"> </w:t>
      </w:r>
      <w:proofErr w:type="spellStart"/>
      <w:r w:rsidRPr="00D624A2">
        <w:rPr>
          <w:lang w:val="fr-FR"/>
        </w:rPr>
        <w:t>Masoumeh</w:t>
      </w:r>
      <w:proofErr w:type="spellEnd"/>
      <w:r w:rsidRPr="00D624A2">
        <w:rPr>
          <w:lang w:val="fr-FR"/>
        </w:rPr>
        <w:t xml:space="preserve"> </w:t>
      </w:r>
      <w:proofErr w:type="spellStart"/>
      <w:r w:rsidRPr="00D624A2">
        <w:rPr>
          <w:lang w:val="fr-FR"/>
        </w:rPr>
        <w:t>Ebrahimi</w:t>
      </w:r>
      <w:proofErr w:type="spellEnd"/>
      <w:r w:rsidRPr="00D624A2">
        <w:rPr>
          <w:lang w:val="fr-FR"/>
        </w:rPr>
        <w:t xml:space="preserve">, </w:t>
      </w:r>
      <w:proofErr w:type="spellStart"/>
      <w:r w:rsidRPr="00D624A2">
        <w:rPr>
          <w:lang w:val="fr-FR"/>
        </w:rPr>
        <w:t>co-supervisor</w:t>
      </w:r>
      <w:proofErr w:type="spellEnd"/>
    </w:p>
    <w:p w14:paraId="78D64AE8" w14:textId="77777777" w:rsidR="00272021" w:rsidRPr="00D624A2" w:rsidRDefault="00272021" w:rsidP="00182FB1">
      <w:pPr>
        <w:rPr>
          <w:b/>
          <w:bCs/>
        </w:rPr>
      </w:pPr>
    </w:p>
    <w:p w14:paraId="6A066EEB" w14:textId="48F46AD7" w:rsidR="00272021" w:rsidRPr="00D624A2" w:rsidRDefault="00272021" w:rsidP="00272021">
      <w:pPr>
        <w:rPr>
          <w:lang w:val="en-US"/>
        </w:rPr>
      </w:pPr>
      <w:r w:rsidRPr="00D624A2">
        <w:rPr>
          <w:b/>
          <w:bCs/>
        </w:rPr>
        <w:t>Enrolment in Doctoral degree:</w:t>
      </w:r>
      <w:r w:rsidRPr="00D624A2">
        <w:t xml:space="preserve"> </w:t>
      </w:r>
      <w:r w:rsidR="00871A4D" w:rsidRPr="00D624A2">
        <w:rPr>
          <w:lang w:val="en-US"/>
        </w:rPr>
        <w:t>KTH (Royal Institute of Technology), Stockholm, Sweden</w:t>
      </w:r>
    </w:p>
    <w:p w14:paraId="5E6529EE" w14:textId="77777777" w:rsidR="00272021" w:rsidRPr="00D624A2" w:rsidRDefault="00272021" w:rsidP="00182FB1">
      <w:pPr>
        <w:rPr>
          <w:b/>
          <w:bCs/>
        </w:rPr>
      </w:pPr>
    </w:p>
    <w:p w14:paraId="391594A7" w14:textId="06A2416E" w:rsidR="00182FB1" w:rsidRPr="00D624A2" w:rsidRDefault="00414806" w:rsidP="00182FB1">
      <w:pPr>
        <w:rPr>
          <w:lang w:val="en-US"/>
        </w:rPr>
      </w:pPr>
      <w:r w:rsidRPr="00D624A2">
        <w:rPr>
          <w:b/>
          <w:bCs/>
        </w:rPr>
        <w:t>Target degree</w:t>
      </w:r>
      <w:r w:rsidRPr="00D624A2">
        <w:rPr>
          <w:b/>
          <w:bCs/>
          <w:lang w:val="en-US"/>
        </w:rPr>
        <w:t>:</w:t>
      </w:r>
      <w:r w:rsidR="00182FB1" w:rsidRPr="00D624A2">
        <w:rPr>
          <w:lang w:val="en-US"/>
        </w:rPr>
        <w:t xml:space="preserve"> </w:t>
      </w:r>
      <w:r w:rsidR="00310EF7" w:rsidRPr="00D624A2">
        <w:rPr>
          <w:lang w:val="en-US"/>
        </w:rPr>
        <w:t xml:space="preserve">PhD Doctoral Degree in </w:t>
      </w:r>
      <w:r w:rsidR="00182FB1" w:rsidRPr="00D624A2">
        <w:rPr>
          <w:lang w:val="en-US"/>
        </w:rPr>
        <w:t xml:space="preserve">Doctoral </w:t>
      </w:r>
      <w:r w:rsidR="00310EF7" w:rsidRPr="00D624A2">
        <w:rPr>
          <w:lang w:val="en-US"/>
        </w:rPr>
        <w:t>Program</w:t>
      </w:r>
      <w:r w:rsidR="00182FB1" w:rsidRPr="00D624A2">
        <w:rPr>
          <w:lang w:val="en-US"/>
        </w:rPr>
        <w:t xml:space="preserve"> </w:t>
      </w:r>
      <w:r w:rsidR="00310EF7" w:rsidRPr="00D624A2">
        <w:rPr>
          <w:lang w:val="en-US"/>
        </w:rPr>
        <w:t xml:space="preserve">for Information and Communications Technology </w:t>
      </w:r>
      <w:r w:rsidR="00310EF7" w:rsidRPr="00D624A2">
        <w:rPr>
          <w:rFonts w:ascii="Trebuchet MS" w:hAnsi="Trebuchet MS"/>
          <w:color w:val="222222"/>
          <w:shd w:val="clear" w:color="auto" w:fill="FFFFFF"/>
        </w:rPr>
        <w:t>(INFKTEKN)</w:t>
      </w:r>
    </w:p>
    <w:p w14:paraId="1BAAC721" w14:textId="77777777" w:rsidR="00941E34" w:rsidRPr="00D624A2" w:rsidRDefault="00941E34" w:rsidP="00182FB1">
      <w:pPr>
        <w:rPr>
          <w:lang w:val="en-US"/>
        </w:rPr>
      </w:pPr>
    </w:p>
    <w:p w14:paraId="44D5CD55" w14:textId="36AF16F8" w:rsidR="00414806" w:rsidRPr="00D624A2" w:rsidRDefault="00182FB1" w:rsidP="00182FB1">
      <w:pPr>
        <w:rPr>
          <w:b/>
          <w:bCs/>
          <w:lang w:val="en-US"/>
        </w:rPr>
      </w:pPr>
      <w:r w:rsidRPr="00D624A2">
        <w:rPr>
          <w:b/>
          <w:bCs/>
          <w:lang w:val="en-US"/>
        </w:rPr>
        <w:t xml:space="preserve">Degree </w:t>
      </w:r>
      <w:r w:rsidR="00272021" w:rsidRPr="00D624A2">
        <w:rPr>
          <w:b/>
          <w:bCs/>
          <w:lang w:val="en-US"/>
        </w:rPr>
        <w:t>details</w:t>
      </w:r>
      <w:r w:rsidRPr="00D624A2">
        <w:rPr>
          <w:b/>
          <w:bCs/>
          <w:lang w:val="en-US"/>
        </w:rPr>
        <w:t xml:space="preserve">: </w:t>
      </w:r>
      <w:hyperlink r:id="rId8" w:history="1">
        <w:r w:rsidR="00B92725" w:rsidRPr="00D624A2">
          <w:rPr>
            <w:rStyle w:val="Hyperlink"/>
          </w:rPr>
          <w:t>https://www.kth.se/en/studies/phd/student/examination-and-degree-1.527043</w:t>
        </w:r>
      </w:hyperlink>
      <w:r w:rsidR="00B92725" w:rsidRPr="00D624A2">
        <w:rPr>
          <w:lang w:val="en-US"/>
        </w:rPr>
        <w:t xml:space="preserve"> </w:t>
      </w:r>
    </w:p>
    <w:p w14:paraId="34075B5C" w14:textId="30AF1922" w:rsidR="00182FB1" w:rsidRPr="00D624A2" w:rsidRDefault="00182FB1" w:rsidP="00182FB1">
      <w:pPr>
        <w:rPr>
          <w:lang w:val="en-US"/>
        </w:rPr>
      </w:pPr>
    </w:p>
    <w:p w14:paraId="4863F150" w14:textId="7E1FA11C" w:rsidR="00272021" w:rsidRPr="00D624A2" w:rsidRDefault="00272021" w:rsidP="00182FB1">
      <w:r w:rsidRPr="00D624A2">
        <w:rPr>
          <w:b/>
          <w:bCs/>
        </w:rPr>
        <w:t>Expected start date:</w:t>
      </w:r>
      <w:r w:rsidRPr="00D624A2">
        <w:t xml:space="preserve"> </w:t>
      </w:r>
      <w:r w:rsidR="00EF15AC" w:rsidRPr="00D624A2">
        <w:t>Sept</w:t>
      </w:r>
      <w:r w:rsidRPr="00D624A2">
        <w:t xml:space="preserve"> 202</w:t>
      </w:r>
      <w:r w:rsidR="00897A86" w:rsidRPr="00D624A2">
        <w:t>1</w:t>
      </w:r>
      <w:r w:rsidRPr="00D624A2">
        <w:t xml:space="preserve"> </w:t>
      </w:r>
    </w:p>
    <w:p w14:paraId="0FEB9747" w14:textId="77777777" w:rsidR="00272021" w:rsidRPr="00D624A2" w:rsidRDefault="00272021" w:rsidP="00182FB1">
      <w:pPr>
        <w:rPr>
          <w:lang w:val="en-US"/>
        </w:rPr>
      </w:pPr>
    </w:p>
    <w:p w14:paraId="63A16DFD" w14:textId="25FC12CF" w:rsidR="00414806" w:rsidRPr="00D624A2" w:rsidRDefault="00414806" w:rsidP="00182FB1">
      <w:r w:rsidRPr="00D624A2">
        <w:rPr>
          <w:b/>
          <w:bCs/>
        </w:rPr>
        <w:t>Approximate gross salary</w:t>
      </w:r>
      <w:r w:rsidRPr="00D624A2">
        <w:rPr>
          <w:b/>
          <w:bCs/>
          <w:lang w:val="en-US"/>
        </w:rPr>
        <w:t>:</w:t>
      </w:r>
      <w:r w:rsidRPr="00D624A2">
        <w:t xml:space="preserve"> about </w:t>
      </w:r>
      <w:r w:rsidR="00310EF7" w:rsidRPr="00D624A2">
        <w:rPr>
          <w:lang w:val="en-US"/>
        </w:rPr>
        <w:t>29000 SEK</w:t>
      </w:r>
      <w:r w:rsidRPr="00D624A2">
        <w:t>/month for researchers without family</w:t>
      </w:r>
      <w:r w:rsidR="003418A2" w:rsidRPr="00D624A2">
        <w:t>; Note: for different positions within the same APROPOS network, the salary is country</w:t>
      </w:r>
      <w:r w:rsidR="00A952AB" w:rsidRPr="00D624A2">
        <w:t>-</w:t>
      </w:r>
      <w:r w:rsidR="003418A2" w:rsidRPr="00D624A2">
        <w:t xml:space="preserve"> and unit-dependen</w:t>
      </w:r>
      <w:r w:rsidR="00A952AB" w:rsidRPr="00D624A2">
        <w:t>t.</w:t>
      </w:r>
    </w:p>
    <w:p w14:paraId="181CCCB5" w14:textId="77777777" w:rsidR="00757673" w:rsidRPr="004C40EE" w:rsidRDefault="00757673" w:rsidP="00757673">
      <w:pPr>
        <w:rPr>
          <w:highlight w:val="yellow"/>
        </w:rPr>
      </w:pPr>
    </w:p>
    <w:p w14:paraId="23E603E9" w14:textId="13E9FE12" w:rsidR="00757673" w:rsidRPr="004C40EE" w:rsidRDefault="00757673" w:rsidP="00757673">
      <w:pPr>
        <w:rPr>
          <w:highlight w:val="yellow"/>
        </w:rPr>
      </w:pPr>
      <w:commentRangeStart w:id="0"/>
      <w:r w:rsidRPr="004C40EE">
        <w:rPr>
          <w:b/>
          <w:bCs/>
          <w:highlight w:val="yellow"/>
        </w:rPr>
        <w:t>Duration:</w:t>
      </w:r>
      <w:r w:rsidRPr="004C40EE">
        <w:rPr>
          <w:highlight w:val="yellow"/>
        </w:rPr>
        <w:t xml:space="preserve"> 36 months</w:t>
      </w:r>
      <w:r w:rsidR="00310EF7" w:rsidRPr="004C40EE">
        <w:rPr>
          <w:highlight w:val="yellow"/>
        </w:rPr>
        <w:t xml:space="preserve">. The PhD program at KTH </w:t>
      </w:r>
      <w:r w:rsidR="001B7173">
        <w:rPr>
          <w:highlight w:val="yellow"/>
        </w:rPr>
        <w:t>is equivalent of 4 years of full-time studies</w:t>
      </w:r>
      <w:r w:rsidR="00310EF7" w:rsidRPr="004C40EE">
        <w:rPr>
          <w:highlight w:val="yellow"/>
        </w:rPr>
        <w:t>. The APROPOS project will fund the first three years.</w:t>
      </w:r>
      <w:commentRangeEnd w:id="0"/>
      <w:r w:rsidR="00136454" w:rsidRPr="004C40EE">
        <w:rPr>
          <w:rStyle w:val="CommentReference"/>
          <w:highlight w:val="yellow"/>
        </w:rPr>
        <w:commentReference w:id="0"/>
      </w:r>
      <w:r w:rsidR="001B7173">
        <w:rPr>
          <w:highlight w:val="yellow"/>
        </w:rPr>
        <w:t xml:space="preserve"> The extra year will be financed by other follow up projects aligned with the same research goals.</w:t>
      </w:r>
    </w:p>
    <w:p w14:paraId="4A30D869" w14:textId="77777777" w:rsidR="00757673" w:rsidRPr="004C40EE" w:rsidRDefault="00757673" w:rsidP="00757673">
      <w:pPr>
        <w:rPr>
          <w:highlight w:val="yellow"/>
        </w:rPr>
      </w:pPr>
    </w:p>
    <w:p w14:paraId="4EEB1B05" w14:textId="77777777" w:rsidR="00757673" w:rsidRPr="00D624A2" w:rsidRDefault="00757673" w:rsidP="00757673">
      <w:r w:rsidRPr="00D624A2">
        <w:rPr>
          <w:b/>
          <w:bCs/>
        </w:rPr>
        <w:t>Researcher Profile:</w:t>
      </w:r>
      <w:r w:rsidRPr="00D624A2">
        <w:t xml:space="preserve"> First Stage Researcher (R1)</w:t>
      </w:r>
    </w:p>
    <w:p w14:paraId="2C7877B8" w14:textId="77777777" w:rsidR="00757673" w:rsidRPr="00D624A2" w:rsidRDefault="00757673" w:rsidP="00757673"/>
    <w:p w14:paraId="24958CB6" w14:textId="791114FB" w:rsidR="00757673" w:rsidRPr="00D624A2" w:rsidRDefault="00757673" w:rsidP="00757673">
      <w:r w:rsidRPr="00D624A2">
        <w:rPr>
          <w:b/>
          <w:bCs/>
        </w:rPr>
        <w:t xml:space="preserve">Research Field: </w:t>
      </w:r>
      <w:r w:rsidR="00310EF7" w:rsidRPr="00D624A2">
        <w:t xml:space="preserve">Algorithms, </w:t>
      </w:r>
      <w:r w:rsidR="0086076B" w:rsidRPr="00D624A2">
        <w:t xml:space="preserve">Compilers, </w:t>
      </w:r>
      <w:r w:rsidR="00310EF7" w:rsidRPr="00D624A2">
        <w:t>Computer Architecture</w:t>
      </w:r>
    </w:p>
    <w:p w14:paraId="1843E4CE" w14:textId="77777777" w:rsidR="00757673" w:rsidRPr="00D624A2" w:rsidRDefault="00757673" w:rsidP="00757673"/>
    <w:p w14:paraId="7FAD7FA2" w14:textId="2A25D297" w:rsidR="00757673" w:rsidRPr="00D624A2" w:rsidRDefault="00757673" w:rsidP="00757673">
      <w:r w:rsidRPr="00D624A2">
        <w:rPr>
          <w:b/>
          <w:bCs/>
        </w:rPr>
        <w:t>Type of contract:</w:t>
      </w:r>
      <w:r w:rsidRPr="00D624A2">
        <w:t xml:space="preserve"> </w:t>
      </w:r>
      <w:r w:rsidR="004C40EE" w:rsidRPr="00D624A2">
        <w:rPr>
          <w:w w:val="105"/>
        </w:rPr>
        <w:t>Temporary position longer than 6</w:t>
      </w:r>
      <w:r w:rsidR="004C40EE" w:rsidRPr="00D624A2">
        <w:rPr>
          <w:spacing w:val="-11"/>
          <w:w w:val="105"/>
        </w:rPr>
        <w:t xml:space="preserve"> </w:t>
      </w:r>
      <w:r w:rsidR="004C40EE" w:rsidRPr="00D624A2">
        <w:rPr>
          <w:w w:val="105"/>
        </w:rPr>
        <w:t>months</w:t>
      </w:r>
    </w:p>
    <w:p w14:paraId="3E067106" w14:textId="77777777" w:rsidR="00757673" w:rsidRPr="00D624A2" w:rsidRDefault="00757673" w:rsidP="00757673"/>
    <w:p w14:paraId="182AC0BC" w14:textId="77777777" w:rsidR="00757673" w:rsidRPr="00D624A2" w:rsidRDefault="00757673" w:rsidP="00757673">
      <w:r w:rsidRPr="00D624A2">
        <w:rPr>
          <w:b/>
          <w:bCs/>
        </w:rPr>
        <w:t>Job Status:</w:t>
      </w:r>
      <w:r w:rsidRPr="00D624A2">
        <w:t xml:space="preserve"> Full-time</w:t>
      </w:r>
    </w:p>
    <w:p w14:paraId="3B309FB3" w14:textId="77777777" w:rsidR="00757673" w:rsidRPr="00D624A2" w:rsidRDefault="00757673" w:rsidP="00757673"/>
    <w:p w14:paraId="0F778A45" w14:textId="3E31B362" w:rsidR="00757673" w:rsidRPr="00D624A2" w:rsidRDefault="00757673" w:rsidP="00182FB1">
      <w:r w:rsidRPr="00D624A2">
        <w:rPr>
          <w:b/>
          <w:bCs/>
        </w:rPr>
        <w:t xml:space="preserve">Hours per </w:t>
      </w:r>
      <w:r w:rsidR="00651558" w:rsidRPr="00D624A2">
        <w:rPr>
          <w:b/>
          <w:bCs/>
        </w:rPr>
        <w:t>week</w:t>
      </w:r>
      <w:r w:rsidRPr="00D624A2">
        <w:rPr>
          <w:b/>
          <w:bCs/>
        </w:rPr>
        <w:t>:</w:t>
      </w:r>
      <w:r w:rsidRPr="00D624A2">
        <w:t xml:space="preserve"> </w:t>
      </w:r>
      <w:r w:rsidR="00310EF7" w:rsidRPr="00D624A2">
        <w:t>40</w:t>
      </w:r>
    </w:p>
    <w:p w14:paraId="3BAAEBCC" w14:textId="77777777" w:rsidR="00757673" w:rsidRPr="00D624A2" w:rsidRDefault="00757673" w:rsidP="00182FB1"/>
    <w:p w14:paraId="1AB191CA" w14:textId="4E4FF56E" w:rsidR="00182FB1" w:rsidRPr="00D624A2" w:rsidRDefault="00414806" w:rsidP="00310EF7">
      <w:pPr>
        <w:rPr>
          <w:lang w:val="en-US"/>
        </w:rPr>
      </w:pPr>
      <w:r w:rsidRPr="00D624A2">
        <w:rPr>
          <w:b/>
          <w:bCs/>
        </w:rPr>
        <w:t xml:space="preserve">Working and living conditions in </w:t>
      </w:r>
      <w:r w:rsidR="00182FB1" w:rsidRPr="00D624A2">
        <w:rPr>
          <w:b/>
          <w:bCs/>
          <w:lang w:val="en-US"/>
        </w:rPr>
        <w:t>the country</w:t>
      </w:r>
      <w:r w:rsidRPr="00D624A2">
        <w:rPr>
          <w:b/>
          <w:bCs/>
          <w:lang w:val="en-US"/>
        </w:rPr>
        <w:t>:</w:t>
      </w:r>
      <w:r w:rsidRPr="00D624A2">
        <w:rPr>
          <w:lang w:val="en-US"/>
        </w:rPr>
        <w:t xml:space="preserve"> </w:t>
      </w:r>
      <w:r w:rsidR="00310EF7" w:rsidRPr="00D624A2">
        <w:rPr>
          <w:b/>
          <w:bCs/>
          <w:lang w:val="en-US"/>
        </w:rPr>
        <w:t>Sweden</w:t>
      </w:r>
      <w:r w:rsidR="00182FB1" w:rsidRPr="00D624A2">
        <w:rPr>
          <w:lang w:val="en-US"/>
        </w:rPr>
        <w:t xml:space="preserve"> is among the most stable, free</w:t>
      </w:r>
      <w:r w:rsidR="003418A2" w:rsidRPr="00D624A2">
        <w:rPr>
          <w:lang w:val="en-US"/>
        </w:rPr>
        <w:t>,</w:t>
      </w:r>
      <w:r w:rsidR="00182FB1" w:rsidRPr="00D624A2">
        <w:rPr>
          <w:lang w:val="en-US"/>
        </w:rPr>
        <w:t xml:space="preserve"> and safe</w:t>
      </w:r>
      <w:r w:rsidR="003418A2" w:rsidRPr="00D624A2">
        <w:rPr>
          <w:lang w:val="en-US"/>
        </w:rPr>
        <w:t>st</w:t>
      </w:r>
      <w:r w:rsidR="00182FB1" w:rsidRPr="00D624A2">
        <w:rPr>
          <w:lang w:val="en-US"/>
        </w:rPr>
        <w:t xml:space="preserve"> countries in the world, based on prominent ratings by various agencies. It is also ranked as one of the top countries as far as social progress is concerned. </w:t>
      </w:r>
      <w:r w:rsidR="00310EF7" w:rsidRPr="00D624A2">
        <w:rPr>
          <w:b/>
          <w:bCs/>
          <w:lang w:val="en-US"/>
        </w:rPr>
        <w:t>Stockholm</w:t>
      </w:r>
      <w:r w:rsidR="00182FB1" w:rsidRPr="00D624A2">
        <w:rPr>
          <w:lang w:val="en-US"/>
        </w:rPr>
        <w:t xml:space="preserve"> is </w:t>
      </w:r>
      <w:r w:rsidR="00310EF7" w:rsidRPr="00D624A2">
        <w:rPr>
          <w:lang w:val="en-US"/>
        </w:rPr>
        <w:t>the largest and the most cosmopolitan city in Scandinavia with a high quality of life. Stockholm is home to many prestigious higher education institutes and has abundance of international schools in English, German and French. Stockholm also offers rich possibilities for a variety of outdoor sports from boating, skiing, trekking and many regular sports arenas.</w:t>
      </w:r>
    </w:p>
    <w:p w14:paraId="2FB56678" w14:textId="77777777" w:rsidR="00182FB1" w:rsidRPr="00D624A2" w:rsidRDefault="00182FB1" w:rsidP="00182FB1">
      <w:pPr>
        <w:rPr>
          <w:lang w:val="en-US"/>
        </w:rPr>
      </w:pPr>
    </w:p>
    <w:p w14:paraId="56C3347D" w14:textId="77777777" w:rsidR="00EF15AC" w:rsidRPr="00D624A2" w:rsidRDefault="00182FB1" w:rsidP="00EF15AC">
      <w:r w:rsidRPr="00D624A2">
        <w:rPr>
          <w:lang w:val="en-US"/>
        </w:rPr>
        <w:t xml:space="preserve">Unit details: </w:t>
      </w:r>
      <w:r w:rsidR="00EF15AC" w:rsidRPr="00D624A2">
        <w:t xml:space="preserve">KTH Royal Institute of Technology in Stockholm has grown to become one of Europe’s leading technical and engineering universities, as well as a key centre of </w:t>
      </w:r>
      <w:r w:rsidR="00EF15AC" w:rsidRPr="00D624A2">
        <w:rPr>
          <w:lang w:val="en-US"/>
        </w:rPr>
        <w:t>intellectual</w:t>
      </w:r>
      <w:r w:rsidR="00EF15AC" w:rsidRPr="00D624A2">
        <w:t xml:space="preserve"> talent and innovation. We are Sweden’s largest technical research and learning institution and home to students, </w:t>
      </w:r>
      <w:proofErr w:type="gramStart"/>
      <w:r w:rsidR="00EF15AC" w:rsidRPr="00D624A2">
        <w:t>researchers</w:t>
      </w:r>
      <w:proofErr w:type="gramEnd"/>
      <w:r w:rsidR="00EF15AC" w:rsidRPr="00D624A2">
        <w:t xml:space="preserve"> and faculty from around the world. Our research and education </w:t>
      </w:r>
      <w:proofErr w:type="gramStart"/>
      <w:r w:rsidR="00EF15AC" w:rsidRPr="00D624A2">
        <w:t>covers</w:t>
      </w:r>
      <w:proofErr w:type="gramEnd"/>
      <w:r w:rsidR="00EF15AC" w:rsidRPr="00D624A2">
        <w:t xml:space="preserve"> a wide area including natural sciences and all branches of engineering, as well as architecture, industrial management, urban planning, history and philosophy.</w:t>
      </w:r>
    </w:p>
    <w:p w14:paraId="798A2993" w14:textId="0707A711" w:rsidR="00182FB1" w:rsidRPr="00D624A2" w:rsidRDefault="00182FB1" w:rsidP="00EF15AC">
      <w:pPr>
        <w:rPr>
          <w:lang w:val="en-US"/>
        </w:rPr>
      </w:pPr>
      <w:r w:rsidRPr="00D624A2">
        <w:rPr>
          <w:lang w:val="en-US"/>
        </w:rPr>
        <w:t>.</w:t>
      </w:r>
    </w:p>
    <w:p w14:paraId="7BA8CAF0" w14:textId="304BE2C1" w:rsidR="004C40EE" w:rsidRPr="00D624A2" w:rsidRDefault="004C40EE" w:rsidP="004C40EE">
      <w:pPr>
        <w:pStyle w:val="ListParagraph"/>
        <w:widowControl w:val="0"/>
        <w:numPr>
          <w:ilvl w:val="0"/>
          <w:numId w:val="14"/>
        </w:numPr>
        <w:tabs>
          <w:tab w:val="left" w:pos="411"/>
        </w:tabs>
        <w:autoSpaceDE w:val="0"/>
        <w:autoSpaceDN w:val="0"/>
        <w:spacing w:before="176" w:line="256" w:lineRule="auto"/>
        <w:ind w:left="567" w:right="1334" w:hanging="567"/>
        <w:contextualSpacing w:val="0"/>
        <w:jc w:val="left"/>
      </w:pPr>
      <w:r w:rsidRPr="00D624A2">
        <w:rPr>
          <w:w w:val="105"/>
        </w:rPr>
        <w:t>The</w:t>
      </w:r>
      <w:r w:rsidRPr="00D624A2">
        <w:rPr>
          <w:spacing w:val="-13"/>
          <w:w w:val="105"/>
        </w:rPr>
        <w:t xml:space="preserve"> </w:t>
      </w:r>
      <w:r w:rsidRPr="00D624A2">
        <w:rPr>
          <w:w w:val="105"/>
        </w:rPr>
        <w:t>possibility</w:t>
      </w:r>
      <w:r w:rsidRPr="00D624A2">
        <w:rPr>
          <w:spacing w:val="-13"/>
          <w:w w:val="105"/>
        </w:rPr>
        <w:t xml:space="preserve"> </w:t>
      </w:r>
      <w:r w:rsidRPr="00D624A2">
        <w:rPr>
          <w:w w:val="105"/>
        </w:rPr>
        <w:t>to</w:t>
      </w:r>
      <w:r w:rsidRPr="00D624A2">
        <w:rPr>
          <w:spacing w:val="-12"/>
          <w:w w:val="105"/>
        </w:rPr>
        <w:t xml:space="preserve"> </w:t>
      </w:r>
      <w:r w:rsidRPr="00D624A2">
        <w:rPr>
          <w:w w:val="105"/>
        </w:rPr>
        <w:t>study</w:t>
      </w:r>
      <w:r w:rsidRPr="00D624A2">
        <w:rPr>
          <w:spacing w:val="-13"/>
          <w:w w:val="105"/>
        </w:rPr>
        <w:t xml:space="preserve"> </w:t>
      </w:r>
      <w:r w:rsidRPr="00D624A2">
        <w:rPr>
          <w:w w:val="105"/>
        </w:rPr>
        <w:t>in</w:t>
      </w:r>
      <w:r w:rsidRPr="00D624A2">
        <w:rPr>
          <w:spacing w:val="-13"/>
          <w:w w:val="105"/>
        </w:rPr>
        <w:t xml:space="preserve"> </w:t>
      </w:r>
      <w:r w:rsidRPr="00D624A2">
        <w:rPr>
          <w:w w:val="105"/>
        </w:rPr>
        <w:t>a</w:t>
      </w:r>
      <w:r w:rsidRPr="00D624A2">
        <w:rPr>
          <w:spacing w:val="-12"/>
          <w:w w:val="105"/>
        </w:rPr>
        <w:t xml:space="preserve"> </w:t>
      </w:r>
      <w:r w:rsidRPr="00D624A2">
        <w:rPr>
          <w:w w:val="105"/>
        </w:rPr>
        <w:t>dynamic</w:t>
      </w:r>
      <w:r w:rsidRPr="00D624A2">
        <w:rPr>
          <w:spacing w:val="-13"/>
          <w:w w:val="105"/>
        </w:rPr>
        <w:t xml:space="preserve"> </w:t>
      </w:r>
      <w:r w:rsidRPr="00D624A2">
        <w:rPr>
          <w:w w:val="105"/>
        </w:rPr>
        <w:t>and</w:t>
      </w:r>
      <w:r w:rsidRPr="00D624A2">
        <w:rPr>
          <w:spacing w:val="-13"/>
          <w:w w:val="105"/>
        </w:rPr>
        <w:t xml:space="preserve"> </w:t>
      </w:r>
      <w:r w:rsidRPr="00D624A2">
        <w:rPr>
          <w:w w:val="105"/>
        </w:rPr>
        <w:t>international</w:t>
      </w:r>
      <w:r w:rsidRPr="00D624A2">
        <w:rPr>
          <w:spacing w:val="-12"/>
          <w:w w:val="105"/>
        </w:rPr>
        <w:t xml:space="preserve"> </w:t>
      </w:r>
      <w:r w:rsidRPr="00D624A2">
        <w:rPr>
          <w:w w:val="105"/>
        </w:rPr>
        <w:t>research</w:t>
      </w:r>
      <w:r w:rsidRPr="00D624A2">
        <w:rPr>
          <w:spacing w:val="-13"/>
          <w:w w:val="105"/>
        </w:rPr>
        <w:t xml:space="preserve"> </w:t>
      </w:r>
      <w:r w:rsidRPr="00D624A2">
        <w:rPr>
          <w:w w:val="105"/>
        </w:rPr>
        <w:t>environment</w:t>
      </w:r>
      <w:r w:rsidRPr="00D624A2">
        <w:rPr>
          <w:spacing w:val="-13"/>
          <w:w w:val="105"/>
        </w:rPr>
        <w:t xml:space="preserve"> </w:t>
      </w:r>
      <w:r w:rsidRPr="00D624A2">
        <w:rPr>
          <w:w w:val="105"/>
        </w:rPr>
        <w:t>in</w:t>
      </w:r>
      <w:r w:rsidRPr="00D624A2">
        <w:rPr>
          <w:spacing w:val="-12"/>
          <w:w w:val="105"/>
        </w:rPr>
        <w:t xml:space="preserve"> </w:t>
      </w:r>
      <w:r w:rsidRPr="00D624A2">
        <w:rPr>
          <w:w w:val="105"/>
        </w:rPr>
        <w:t>collaboration</w:t>
      </w:r>
      <w:r w:rsidRPr="00D624A2">
        <w:rPr>
          <w:spacing w:val="-13"/>
          <w:w w:val="105"/>
        </w:rPr>
        <w:t xml:space="preserve"> </w:t>
      </w:r>
      <w:r w:rsidRPr="00D624A2">
        <w:rPr>
          <w:w w:val="105"/>
        </w:rPr>
        <w:t xml:space="preserve">with industries and prominent universities from all over the world. </w:t>
      </w:r>
      <w:hyperlink r:id="rId13" w:history="1">
        <w:r w:rsidRPr="00D624A2">
          <w:rPr>
            <w:rStyle w:val="Hyperlink"/>
            <w:w w:val="105"/>
          </w:rPr>
          <w:t>https://www.kth.se/en/studies/phd/</w:t>
        </w:r>
      </w:hyperlink>
      <w:r w:rsidRPr="00D624A2">
        <w:rPr>
          <w:color w:val="0000F2"/>
          <w:w w:val="105"/>
        </w:rPr>
        <w:t xml:space="preserve"> why-1.521017</w:t>
      </w:r>
    </w:p>
    <w:p w14:paraId="40C4E8DF" w14:textId="77777777" w:rsidR="004C40EE" w:rsidRPr="00D624A2" w:rsidRDefault="004C40EE" w:rsidP="004C40EE">
      <w:pPr>
        <w:pStyle w:val="ListParagraph"/>
        <w:widowControl w:val="0"/>
        <w:numPr>
          <w:ilvl w:val="0"/>
          <w:numId w:val="14"/>
        </w:numPr>
        <w:tabs>
          <w:tab w:val="left" w:pos="411"/>
        </w:tabs>
        <w:autoSpaceDE w:val="0"/>
        <w:autoSpaceDN w:val="0"/>
        <w:spacing w:before="176" w:line="256" w:lineRule="auto"/>
        <w:ind w:left="567" w:right="1334" w:hanging="567"/>
        <w:contextualSpacing w:val="0"/>
        <w:jc w:val="left"/>
      </w:pPr>
      <w:r w:rsidRPr="00D624A2">
        <w:rPr>
          <w:w w:val="105"/>
        </w:rPr>
        <w:t>A</w:t>
      </w:r>
      <w:r w:rsidRPr="00D624A2">
        <w:rPr>
          <w:spacing w:val="-14"/>
          <w:w w:val="105"/>
        </w:rPr>
        <w:t xml:space="preserve"> </w:t>
      </w:r>
      <w:r w:rsidRPr="00D624A2">
        <w:rPr>
          <w:w w:val="105"/>
        </w:rPr>
        <w:t>compulsory</w:t>
      </w:r>
      <w:r w:rsidRPr="00D624A2">
        <w:rPr>
          <w:spacing w:val="-3"/>
          <w:w w:val="105"/>
        </w:rPr>
        <w:t xml:space="preserve"> </w:t>
      </w:r>
      <w:r w:rsidRPr="00D624A2">
        <w:rPr>
          <w:w w:val="105"/>
        </w:rPr>
        <w:t>individual</w:t>
      </w:r>
      <w:r w:rsidRPr="00D624A2">
        <w:rPr>
          <w:spacing w:val="-4"/>
          <w:w w:val="105"/>
        </w:rPr>
        <w:t xml:space="preserve"> </w:t>
      </w:r>
      <w:r w:rsidRPr="00D624A2">
        <w:rPr>
          <w:w w:val="105"/>
        </w:rPr>
        <w:t>study</w:t>
      </w:r>
      <w:r w:rsidRPr="00D624A2">
        <w:rPr>
          <w:spacing w:val="-4"/>
          <w:w w:val="105"/>
        </w:rPr>
        <w:t xml:space="preserve"> </w:t>
      </w:r>
      <w:r w:rsidRPr="00D624A2">
        <w:rPr>
          <w:w w:val="105"/>
        </w:rPr>
        <w:t>plan</w:t>
      </w:r>
      <w:r w:rsidRPr="00D624A2">
        <w:rPr>
          <w:spacing w:val="-4"/>
          <w:w w:val="105"/>
        </w:rPr>
        <w:t xml:space="preserve"> </w:t>
      </w:r>
      <w:r w:rsidRPr="00D624A2">
        <w:rPr>
          <w:w w:val="105"/>
        </w:rPr>
        <w:t>to</w:t>
      </w:r>
      <w:r w:rsidRPr="00D624A2">
        <w:rPr>
          <w:spacing w:val="-3"/>
          <w:w w:val="105"/>
        </w:rPr>
        <w:t xml:space="preserve"> </w:t>
      </w:r>
      <w:r w:rsidRPr="00D624A2">
        <w:rPr>
          <w:w w:val="105"/>
        </w:rPr>
        <w:t>support</w:t>
      </w:r>
      <w:r w:rsidRPr="00D624A2">
        <w:rPr>
          <w:spacing w:val="-4"/>
          <w:w w:val="105"/>
        </w:rPr>
        <w:t xml:space="preserve"> </w:t>
      </w:r>
      <w:r w:rsidRPr="00D624A2">
        <w:rPr>
          <w:w w:val="105"/>
        </w:rPr>
        <w:t>your</w:t>
      </w:r>
      <w:r w:rsidRPr="00D624A2">
        <w:rPr>
          <w:spacing w:val="-4"/>
          <w:w w:val="105"/>
        </w:rPr>
        <w:t xml:space="preserve"> </w:t>
      </w:r>
      <w:r w:rsidRPr="00D624A2">
        <w:rPr>
          <w:w w:val="105"/>
        </w:rPr>
        <w:t>development</w:t>
      </w:r>
      <w:r w:rsidRPr="00D624A2">
        <w:rPr>
          <w:spacing w:val="-3"/>
          <w:w w:val="105"/>
        </w:rPr>
        <w:t xml:space="preserve"> </w:t>
      </w:r>
      <w:r w:rsidRPr="00D624A2">
        <w:rPr>
          <w:w w:val="105"/>
        </w:rPr>
        <w:t>in</w:t>
      </w:r>
      <w:r w:rsidRPr="00D624A2">
        <w:rPr>
          <w:spacing w:val="-4"/>
          <w:w w:val="105"/>
        </w:rPr>
        <w:t xml:space="preserve"> </w:t>
      </w:r>
      <w:r w:rsidRPr="00D624A2">
        <w:rPr>
          <w:w w:val="105"/>
        </w:rPr>
        <w:t>your</w:t>
      </w:r>
      <w:r w:rsidRPr="00D624A2">
        <w:rPr>
          <w:spacing w:val="-4"/>
          <w:w w:val="105"/>
        </w:rPr>
        <w:t xml:space="preserve"> </w:t>
      </w:r>
      <w:r w:rsidRPr="00D624A2">
        <w:rPr>
          <w:w w:val="105"/>
        </w:rPr>
        <w:t>area</w:t>
      </w:r>
      <w:r w:rsidRPr="00D624A2">
        <w:rPr>
          <w:spacing w:val="-3"/>
          <w:w w:val="105"/>
        </w:rPr>
        <w:t xml:space="preserve"> </w:t>
      </w:r>
      <w:r w:rsidRPr="00D624A2">
        <w:rPr>
          <w:w w:val="105"/>
        </w:rPr>
        <w:t>of</w:t>
      </w:r>
      <w:r w:rsidRPr="00D624A2">
        <w:rPr>
          <w:spacing w:val="-4"/>
          <w:w w:val="105"/>
        </w:rPr>
        <w:t xml:space="preserve"> </w:t>
      </w:r>
      <w:r w:rsidRPr="00D624A2">
        <w:rPr>
          <w:w w:val="105"/>
        </w:rPr>
        <w:t>interest.</w:t>
      </w:r>
    </w:p>
    <w:p w14:paraId="1BE5B180" w14:textId="77777777" w:rsidR="004C40EE" w:rsidRPr="00D624A2" w:rsidRDefault="004C40EE" w:rsidP="004C40EE">
      <w:pPr>
        <w:pStyle w:val="ListParagraph"/>
        <w:widowControl w:val="0"/>
        <w:numPr>
          <w:ilvl w:val="0"/>
          <w:numId w:val="14"/>
        </w:numPr>
        <w:tabs>
          <w:tab w:val="left" w:pos="411"/>
        </w:tabs>
        <w:autoSpaceDE w:val="0"/>
        <w:autoSpaceDN w:val="0"/>
        <w:spacing w:before="176" w:line="256" w:lineRule="auto"/>
        <w:ind w:left="567" w:right="1334" w:hanging="567"/>
        <w:contextualSpacing w:val="0"/>
        <w:jc w:val="left"/>
      </w:pPr>
      <w:r w:rsidRPr="00D624A2">
        <w:rPr>
          <w:w w:val="105"/>
        </w:rPr>
        <w:t>A</w:t>
      </w:r>
      <w:r w:rsidRPr="00D624A2">
        <w:rPr>
          <w:spacing w:val="-23"/>
          <w:w w:val="105"/>
        </w:rPr>
        <w:t xml:space="preserve"> </w:t>
      </w:r>
      <w:r w:rsidRPr="00D624A2">
        <w:rPr>
          <w:w w:val="105"/>
        </w:rPr>
        <w:t>workplace</w:t>
      </w:r>
      <w:r w:rsidRPr="00D624A2">
        <w:rPr>
          <w:spacing w:val="-16"/>
          <w:w w:val="105"/>
        </w:rPr>
        <w:t xml:space="preserve"> </w:t>
      </w:r>
      <w:r w:rsidRPr="00D624A2">
        <w:rPr>
          <w:w w:val="105"/>
        </w:rPr>
        <w:t>with</w:t>
      </w:r>
      <w:r w:rsidRPr="00D624A2">
        <w:rPr>
          <w:spacing w:val="-15"/>
          <w:w w:val="105"/>
        </w:rPr>
        <w:t xml:space="preserve"> </w:t>
      </w:r>
      <w:r w:rsidRPr="00D624A2">
        <w:rPr>
          <w:w w:val="105"/>
        </w:rPr>
        <w:t>many</w:t>
      </w:r>
      <w:r w:rsidRPr="00D624A2">
        <w:rPr>
          <w:spacing w:val="-16"/>
          <w:w w:val="105"/>
        </w:rPr>
        <w:t xml:space="preserve"> </w:t>
      </w:r>
      <w:r w:rsidRPr="00D624A2">
        <w:rPr>
          <w:w w:val="105"/>
        </w:rPr>
        <w:t>employee</w:t>
      </w:r>
      <w:r w:rsidRPr="00D624A2">
        <w:rPr>
          <w:spacing w:val="-16"/>
          <w:w w:val="105"/>
        </w:rPr>
        <w:t xml:space="preserve"> </w:t>
      </w:r>
      <w:r w:rsidRPr="00D624A2">
        <w:rPr>
          <w:w w:val="105"/>
        </w:rPr>
        <w:t>benefits</w:t>
      </w:r>
      <w:r w:rsidRPr="00D624A2">
        <w:rPr>
          <w:spacing w:val="-15"/>
          <w:w w:val="105"/>
        </w:rPr>
        <w:t xml:space="preserve"> </w:t>
      </w:r>
      <w:r w:rsidRPr="00D624A2">
        <w:rPr>
          <w:w w:val="105"/>
        </w:rPr>
        <w:t>and</w:t>
      </w:r>
      <w:r w:rsidRPr="00D624A2">
        <w:rPr>
          <w:spacing w:val="-16"/>
          <w:w w:val="105"/>
        </w:rPr>
        <w:t xml:space="preserve"> </w:t>
      </w:r>
      <w:r w:rsidRPr="00D624A2">
        <w:rPr>
          <w:w w:val="105"/>
        </w:rPr>
        <w:t>monthly</w:t>
      </w:r>
      <w:r w:rsidRPr="00D624A2">
        <w:rPr>
          <w:spacing w:val="-16"/>
          <w:w w:val="105"/>
        </w:rPr>
        <w:t xml:space="preserve"> </w:t>
      </w:r>
      <w:r w:rsidRPr="00D624A2">
        <w:rPr>
          <w:w w:val="105"/>
        </w:rPr>
        <w:t>salary</w:t>
      </w:r>
      <w:r w:rsidRPr="00D624A2">
        <w:rPr>
          <w:spacing w:val="-15"/>
          <w:w w:val="105"/>
        </w:rPr>
        <w:t xml:space="preserve"> </w:t>
      </w:r>
      <w:r w:rsidRPr="00D624A2">
        <w:rPr>
          <w:w w:val="105"/>
        </w:rPr>
        <w:t>according</w:t>
      </w:r>
      <w:r w:rsidRPr="00D624A2">
        <w:rPr>
          <w:spacing w:val="-16"/>
          <w:w w:val="105"/>
        </w:rPr>
        <w:t xml:space="preserve"> </w:t>
      </w:r>
      <w:r w:rsidRPr="00D624A2">
        <w:rPr>
          <w:w w:val="105"/>
        </w:rPr>
        <w:t>to</w:t>
      </w:r>
      <w:r w:rsidRPr="00D624A2">
        <w:rPr>
          <w:spacing w:val="-16"/>
          <w:w w:val="105"/>
        </w:rPr>
        <w:t xml:space="preserve"> </w:t>
      </w:r>
      <w:r w:rsidRPr="00D624A2">
        <w:rPr>
          <w:color w:val="0000F2"/>
          <w:w w:val="105"/>
        </w:rPr>
        <w:t xml:space="preserve">https://intra.kth.se/en/ </w:t>
      </w:r>
      <w:proofErr w:type="spellStart"/>
      <w:r w:rsidRPr="00D624A2">
        <w:rPr>
          <w:color w:val="0000F2"/>
          <w:w w:val="105"/>
        </w:rPr>
        <w:t>anstallning</w:t>
      </w:r>
      <w:proofErr w:type="spellEnd"/>
      <w:r w:rsidRPr="00D624A2">
        <w:rPr>
          <w:color w:val="0000F2"/>
          <w:w w:val="105"/>
        </w:rPr>
        <w:t>/</w:t>
      </w:r>
      <w:proofErr w:type="spellStart"/>
      <w:r w:rsidRPr="00D624A2">
        <w:rPr>
          <w:color w:val="0000F2"/>
          <w:w w:val="105"/>
        </w:rPr>
        <w:t>anstallningsvillkor</w:t>
      </w:r>
      <w:proofErr w:type="spellEnd"/>
      <w:r w:rsidRPr="00D624A2">
        <w:rPr>
          <w:color w:val="0000F2"/>
          <w:w w:val="105"/>
        </w:rPr>
        <w:t>/</w:t>
      </w:r>
      <w:proofErr w:type="spellStart"/>
      <w:r w:rsidRPr="00D624A2">
        <w:rPr>
          <w:color w:val="0000F2"/>
          <w:w w:val="105"/>
        </w:rPr>
        <w:t>lon</w:t>
      </w:r>
      <w:proofErr w:type="spellEnd"/>
      <w:r w:rsidRPr="00D624A2">
        <w:rPr>
          <w:color w:val="0000F2"/>
          <w:w w:val="105"/>
        </w:rPr>
        <w:t>/doktorandstegen-1.572915</w:t>
      </w:r>
    </w:p>
    <w:p w14:paraId="0D4ED74A" w14:textId="77777777" w:rsidR="004C40EE" w:rsidRPr="00D624A2" w:rsidRDefault="004C40EE" w:rsidP="004C40EE">
      <w:pPr>
        <w:pStyle w:val="ListParagraph"/>
        <w:widowControl w:val="0"/>
        <w:numPr>
          <w:ilvl w:val="0"/>
          <w:numId w:val="14"/>
        </w:numPr>
        <w:tabs>
          <w:tab w:val="left" w:pos="411"/>
        </w:tabs>
        <w:autoSpaceDE w:val="0"/>
        <w:autoSpaceDN w:val="0"/>
        <w:spacing w:before="176" w:line="256" w:lineRule="auto"/>
        <w:ind w:left="567" w:right="1334" w:hanging="567"/>
        <w:contextualSpacing w:val="0"/>
        <w:jc w:val="left"/>
      </w:pPr>
      <w:r w:rsidRPr="00D624A2">
        <w:rPr>
          <w:w w:val="105"/>
        </w:rPr>
        <w:t>A</w:t>
      </w:r>
      <w:r w:rsidRPr="00D624A2">
        <w:rPr>
          <w:spacing w:val="-20"/>
          <w:w w:val="105"/>
        </w:rPr>
        <w:t xml:space="preserve"> </w:t>
      </w:r>
      <w:r w:rsidRPr="00D624A2">
        <w:rPr>
          <w:w w:val="105"/>
        </w:rPr>
        <w:t>postgraduate</w:t>
      </w:r>
      <w:r w:rsidRPr="00D624A2">
        <w:rPr>
          <w:spacing w:val="-11"/>
          <w:w w:val="105"/>
        </w:rPr>
        <w:t xml:space="preserve"> </w:t>
      </w:r>
      <w:r w:rsidRPr="00D624A2">
        <w:rPr>
          <w:w w:val="105"/>
        </w:rPr>
        <w:t>education</w:t>
      </w:r>
      <w:r w:rsidRPr="00D624A2">
        <w:rPr>
          <w:spacing w:val="-12"/>
          <w:w w:val="105"/>
        </w:rPr>
        <w:t xml:space="preserve"> </w:t>
      </w:r>
      <w:r w:rsidRPr="00D624A2">
        <w:rPr>
          <w:w w:val="105"/>
        </w:rPr>
        <w:t>at</w:t>
      </w:r>
      <w:r w:rsidRPr="00D624A2">
        <w:rPr>
          <w:spacing w:val="-12"/>
          <w:w w:val="105"/>
        </w:rPr>
        <w:t xml:space="preserve"> </w:t>
      </w:r>
      <w:r w:rsidRPr="00D624A2">
        <w:rPr>
          <w:w w:val="105"/>
        </w:rPr>
        <w:t>an</w:t>
      </w:r>
      <w:r w:rsidRPr="00D624A2">
        <w:rPr>
          <w:spacing w:val="-11"/>
          <w:w w:val="105"/>
        </w:rPr>
        <w:t xml:space="preserve"> </w:t>
      </w:r>
      <w:r w:rsidRPr="00D624A2">
        <w:rPr>
          <w:w w:val="105"/>
        </w:rPr>
        <w:t>institution</w:t>
      </w:r>
      <w:r w:rsidRPr="00D624A2">
        <w:rPr>
          <w:spacing w:val="-12"/>
          <w:w w:val="105"/>
        </w:rPr>
        <w:t xml:space="preserve"> </w:t>
      </w:r>
      <w:r w:rsidRPr="00D624A2">
        <w:rPr>
          <w:w w:val="105"/>
        </w:rPr>
        <w:t>that</w:t>
      </w:r>
      <w:r w:rsidRPr="00D624A2">
        <w:rPr>
          <w:spacing w:val="-11"/>
          <w:w w:val="105"/>
        </w:rPr>
        <w:t xml:space="preserve"> </w:t>
      </w:r>
      <w:r w:rsidRPr="00D624A2">
        <w:rPr>
          <w:w w:val="105"/>
        </w:rPr>
        <w:t>is</w:t>
      </w:r>
      <w:r w:rsidRPr="00D624A2">
        <w:rPr>
          <w:spacing w:val="-12"/>
          <w:w w:val="105"/>
        </w:rPr>
        <w:t xml:space="preserve"> </w:t>
      </w:r>
      <w:r w:rsidRPr="00D624A2">
        <w:rPr>
          <w:w w:val="105"/>
        </w:rPr>
        <w:t>active</w:t>
      </w:r>
      <w:r w:rsidRPr="00D624A2">
        <w:rPr>
          <w:spacing w:val="-11"/>
          <w:w w:val="105"/>
        </w:rPr>
        <w:t xml:space="preserve"> </w:t>
      </w:r>
      <w:r w:rsidRPr="00D624A2">
        <w:rPr>
          <w:w w:val="105"/>
        </w:rPr>
        <w:t>and</w:t>
      </w:r>
      <w:r w:rsidRPr="00D624A2">
        <w:rPr>
          <w:spacing w:val="-12"/>
          <w:w w:val="105"/>
        </w:rPr>
        <w:t xml:space="preserve"> </w:t>
      </w:r>
      <w:r w:rsidRPr="00D624A2">
        <w:rPr>
          <w:w w:val="105"/>
        </w:rPr>
        <w:t>supportive</w:t>
      </w:r>
      <w:r w:rsidRPr="00D624A2">
        <w:rPr>
          <w:spacing w:val="-12"/>
          <w:w w:val="105"/>
        </w:rPr>
        <w:t xml:space="preserve"> </w:t>
      </w:r>
      <w:r w:rsidRPr="00D624A2">
        <w:rPr>
          <w:w w:val="105"/>
        </w:rPr>
        <w:t>in</w:t>
      </w:r>
      <w:r w:rsidRPr="00D624A2">
        <w:rPr>
          <w:spacing w:val="-11"/>
          <w:w w:val="105"/>
        </w:rPr>
        <w:t xml:space="preserve"> </w:t>
      </w:r>
      <w:r w:rsidRPr="00D624A2">
        <w:rPr>
          <w:w w:val="105"/>
        </w:rPr>
        <w:t>matters</w:t>
      </w:r>
      <w:r w:rsidRPr="00D624A2">
        <w:rPr>
          <w:spacing w:val="-12"/>
          <w:w w:val="105"/>
        </w:rPr>
        <w:t xml:space="preserve"> </w:t>
      </w:r>
      <w:r w:rsidRPr="00D624A2">
        <w:rPr>
          <w:w w:val="105"/>
        </w:rPr>
        <w:t>pertaining</w:t>
      </w:r>
      <w:r w:rsidRPr="00D624A2">
        <w:rPr>
          <w:spacing w:val="-11"/>
          <w:w w:val="105"/>
        </w:rPr>
        <w:t xml:space="preserve"> </w:t>
      </w:r>
      <w:r w:rsidRPr="00D624A2">
        <w:rPr>
          <w:w w:val="105"/>
        </w:rPr>
        <w:t>to working</w:t>
      </w:r>
      <w:r w:rsidRPr="00D624A2">
        <w:rPr>
          <w:spacing w:val="-5"/>
          <w:w w:val="105"/>
        </w:rPr>
        <w:t xml:space="preserve"> </w:t>
      </w:r>
      <w:r w:rsidRPr="00D624A2">
        <w:rPr>
          <w:w w:val="105"/>
        </w:rPr>
        <w:t>conditions,</w:t>
      </w:r>
      <w:r w:rsidRPr="00D624A2">
        <w:rPr>
          <w:spacing w:val="-5"/>
          <w:w w:val="105"/>
        </w:rPr>
        <w:t xml:space="preserve"> </w:t>
      </w:r>
      <w:r w:rsidRPr="00D624A2">
        <w:rPr>
          <w:w w:val="105"/>
        </w:rPr>
        <w:t>gender</w:t>
      </w:r>
      <w:r w:rsidRPr="00D624A2">
        <w:rPr>
          <w:spacing w:val="-5"/>
          <w:w w:val="105"/>
        </w:rPr>
        <w:t xml:space="preserve"> </w:t>
      </w:r>
      <w:r w:rsidRPr="00D624A2">
        <w:rPr>
          <w:w w:val="105"/>
        </w:rPr>
        <w:t>equality</w:t>
      </w:r>
      <w:r w:rsidRPr="00D624A2">
        <w:rPr>
          <w:spacing w:val="-5"/>
          <w:w w:val="105"/>
        </w:rPr>
        <w:t xml:space="preserve"> </w:t>
      </w:r>
      <w:r w:rsidRPr="00D624A2">
        <w:rPr>
          <w:w w:val="105"/>
        </w:rPr>
        <w:t>and</w:t>
      </w:r>
      <w:r w:rsidRPr="00D624A2">
        <w:rPr>
          <w:spacing w:val="-5"/>
          <w:w w:val="105"/>
        </w:rPr>
        <w:t xml:space="preserve"> </w:t>
      </w:r>
      <w:r w:rsidRPr="00D624A2">
        <w:rPr>
          <w:w w:val="105"/>
        </w:rPr>
        <w:t>diversity</w:t>
      </w:r>
      <w:r w:rsidRPr="00D624A2">
        <w:rPr>
          <w:spacing w:val="-5"/>
          <w:w w:val="105"/>
        </w:rPr>
        <w:t xml:space="preserve"> </w:t>
      </w:r>
      <w:r w:rsidRPr="00D624A2">
        <w:rPr>
          <w:w w:val="105"/>
        </w:rPr>
        <w:t>as</w:t>
      </w:r>
      <w:r w:rsidRPr="00D624A2">
        <w:rPr>
          <w:spacing w:val="-5"/>
          <w:w w:val="105"/>
        </w:rPr>
        <w:t xml:space="preserve"> </w:t>
      </w:r>
      <w:r w:rsidRPr="00D624A2">
        <w:rPr>
          <w:w w:val="105"/>
        </w:rPr>
        <w:t>well</w:t>
      </w:r>
      <w:r w:rsidRPr="00D624A2">
        <w:rPr>
          <w:spacing w:val="-5"/>
          <w:w w:val="105"/>
        </w:rPr>
        <w:t xml:space="preserve"> </w:t>
      </w:r>
      <w:r w:rsidRPr="00D624A2">
        <w:rPr>
          <w:w w:val="105"/>
        </w:rPr>
        <w:t>as</w:t>
      </w:r>
      <w:r w:rsidRPr="00D624A2">
        <w:rPr>
          <w:spacing w:val="-5"/>
          <w:w w:val="105"/>
        </w:rPr>
        <w:t xml:space="preserve"> </w:t>
      </w:r>
      <w:r w:rsidRPr="00D624A2">
        <w:rPr>
          <w:w w:val="105"/>
        </w:rPr>
        <w:t>study</w:t>
      </w:r>
      <w:r w:rsidRPr="00D624A2">
        <w:rPr>
          <w:spacing w:val="-5"/>
          <w:w w:val="105"/>
        </w:rPr>
        <w:t xml:space="preserve"> </w:t>
      </w:r>
      <w:r w:rsidRPr="00D624A2">
        <w:rPr>
          <w:w w:val="105"/>
        </w:rPr>
        <w:t>environment.</w:t>
      </w:r>
    </w:p>
    <w:p w14:paraId="0F149AB0" w14:textId="449E7081" w:rsidR="004C40EE" w:rsidRPr="00D624A2" w:rsidRDefault="004C40EE" w:rsidP="004C40EE">
      <w:pPr>
        <w:pStyle w:val="ListParagraph"/>
        <w:widowControl w:val="0"/>
        <w:numPr>
          <w:ilvl w:val="0"/>
          <w:numId w:val="14"/>
        </w:numPr>
        <w:tabs>
          <w:tab w:val="left" w:pos="411"/>
        </w:tabs>
        <w:autoSpaceDE w:val="0"/>
        <w:autoSpaceDN w:val="0"/>
        <w:spacing w:before="176" w:line="256" w:lineRule="auto"/>
        <w:ind w:left="567" w:right="1334" w:hanging="567"/>
        <w:contextualSpacing w:val="0"/>
        <w:jc w:val="left"/>
      </w:pPr>
      <w:r w:rsidRPr="00D624A2">
        <w:rPr>
          <w:w w:val="105"/>
        </w:rPr>
        <w:t>Help to</w:t>
      </w:r>
      <w:r w:rsidRPr="00D624A2">
        <w:rPr>
          <w:spacing w:val="-5"/>
          <w:w w:val="105"/>
        </w:rPr>
        <w:t xml:space="preserve"> </w:t>
      </w:r>
      <w:hyperlink r:id="rId14">
        <w:r w:rsidRPr="00D624A2">
          <w:rPr>
            <w:color w:val="0000F2"/>
            <w:w w:val="105"/>
          </w:rPr>
          <w:t>https://www.kth.se/en/om/work-at-kth/relocation</w:t>
        </w:r>
      </w:hyperlink>
      <w:r w:rsidRPr="00D624A2">
        <w:rPr>
          <w:w w:val="105"/>
        </w:rPr>
        <w:t>.</w:t>
      </w:r>
    </w:p>
    <w:p w14:paraId="4BA0EF39" w14:textId="77777777" w:rsidR="004C40EE" w:rsidRPr="00D624A2" w:rsidRDefault="004C40EE" w:rsidP="00EF15AC">
      <w:pPr>
        <w:rPr>
          <w:lang w:val="en-US"/>
        </w:rPr>
      </w:pPr>
    </w:p>
    <w:p w14:paraId="42278196" w14:textId="77777777" w:rsidR="00182FB1" w:rsidRPr="00D624A2" w:rsidRDefault="00182FB1" w:rsidP="00182FB1">
      <w:pPr>
        <w:rPr>
          <w:lang w:val="en-US"/>
        </w:rPr>
      </w:pPr>
    </w:p>
    <w:p w14:paraId="6F634BD7" w14:textId="5F136B11" w:rsidR="00182FB1" w:rsidRPr="00D624A2" w:rsidRDefault="00182FB1" w:rsidP="00182FB1">
      <w:pPr>
        <w:rPr>
          <w:lang w:val="en-US"/>
        </w:rPr>
      </w:pPr>
      <w:r w:rsidRPr="00D624A2">
        <w:rPr>
          <w:lang w:val="en-US"/>
        </w:rPr>
        <w:t xml:space="preserve">Read more about </w:t>
      </w:r>
      <w:r w:rsidR="00EF15AC" w:rsidRPr="00D624A2">
        <w:rPr>
          <w:lang w:val="en-US"/>
        </w:rPr>
        <w:t>KTH and School of EECS</w:t>
      </w:r>
      <w:r w:rsidR="004C40EE" w:rsidRPr="00D624A2">
        <w:rPr>
          <w:lang w:val="en-US"/>
        </w:rPr>
        <w:t xml:space="preserve"> and the division of EES where the project is located</w:t>
      </w:r>
      <w:r w:rsidRPr="00D624A2">
        <w:rPr>
          <w:lang w:val="en-US"/>
        </w:rPr>
        <w:t xml:space="preserve">: </w:t>
      </w:r>
    </w:p>
    <w:p w14:paraId="2B17D9B1" w14:textId="402CB9B9" w:rsidR="00182FB1" w:rsidRPr="00D624A2" w:rsidRDefault="004B4567" w:rsidP="00182FB1">
      <w:pPr>
        <w:pStyle w:val="ListParagraph"/>
        <w:numPr>
          <w:ilvl w:val="0"/>
          <w:numId w:val="7"/>
        </w:numPr>
        <w:rPr>
          <w:lang w:val="en-US"/>
        </w:rPr>
      </w:pPr>
      <w:hyperlink r:id="rId15" w:history="1">
        <w:r w:rsidR="00EF15AC" w:rsidRPr="00D624A2">
          <w:rPr>
            <w:rStyle w:val="Hyperlink"/>
            <w:lang w:val="en-US"/>
          </w:rPr>
          <w:t>https://kth.se/</w:t>
        </w:r>
      </w:hyperlink>
    </w:p>
    <w:p w14:paraId="4A3C7FA2" w14:textId="1D67962A" w:rsidR="008305D6" w:rsidRPr="00D624A2" w:rsidRDefault="004B4567" w:rsidP="00182FB1">
      <w:pPr>
        <w:pStyle w:val="ListParagraph"/>
        <w:numPr>
          <w:ilvl w:val="0"/>
          <w:numId w:val="7"/>
        </w:numPr>
        <w:rPr>
          <w:lang w:val="en-US"/>
        </w:rPr>
      </w:pPr>
      <w:hyperlink r:id="rId16" w:history="1">
        <w:r w:rsidR="008305D6" w:rsidRPr="00D624A2">
          <w:rPr>
            <w:rStyle w:val="Hyperlink"/>
            <w:lang w:val="en-US"/>
          </w:rPr>
          <w:t>https://www.kth.se/en/eecs/skolan-for-elektroteknik-och-datavetenskap-1.760855</w:t>
        </w:r>
      </w:hyperlink>
    </w:p>
    <w:p w14:paraId="2BE2117E" w14:textId="51E3B8C8" w:rsidR="00414806" w:rsidRPr="00D624A2" w:rsidRDefault="004B4567" w:rsidP="009460FD">
      <w:pPr>
        <w:pStyle w:val="ListParagraph"/>
        <w:numPr>
          <w:ilvl w:val="0"/>
          <w:numId w:val="7"/>
        </w:numPr>
        <w:rPr>
          <w:lang w:val="en-US"/>
        </w:rPr>
      </w:pPr>
      <w:hyperlink r:id="rId17" w:history="1">
        <w:r w:rsidR="008305D6" w:rsidRPr="00D624A2">
          <w:rPr>
            <w:rStyle w:val="Hyperlink"/>
            <w:lang w:val="en-US"/>
          </w:rPr>
          <w:t>https://www.kth.se/ees</w:t>
        </w:r>
      </w:hyperlink>
    </w:p>
    <w:p w14:paraId="3C0135AE" w14:textId="77777777" w:rsidR="008305D6" w:rsidRPr="008305D6" w:rsidRDefault="008305D6" w:rsidP="008305D6">
      <w:pPr>
        <w:pStyle w:val="ListParagraph"/>
        <w:rPr>
          <w:lang w:val="en-US"/>
        </w:rPr>
      </w:pPr>
    </w:p>
    <w:p w14:paraId="57CE89C2" w14:textId="45BEE307" w:rsidR="00514047" w:rsidRDefault="00414806" w:rsidP="00514047">
      <w:pPr>
        <w:rPr>
          <w:lang w:val="en-US"/>
        </w:rPr>
      </w:pPr>
      <w:r w:rsidRPr="00182FB1">
        <w:rPr>
          <w:b/>
          <w:bCs/>
          <w:lang w:val="en-US"/>
        </w:rPr>
        <w:t>Seconding Unit</w:t>
      </w:r>
      <w:r w:rsidR="00160170">
        <w:rPr>
          <w:b/>
          <w:bCs/>
          <w:lang w:val="en-US"/>
        </w:rPr>
        <w:t>s</w:t>
      </w:r>
      <w:r w:rsidRPr="00182FB1">
        <w:rPr>
          <w:b/>
          <w:bCs/>
          <w:lang w:val="en-US"/>
        </w:rPr>
        <w:t xml:space="preserve"> description:</w:t>
      </w:r>
      <w:r w:rsidR="006B2BE4">
        <w:rPr>
          <w:lang w:val="en-US"/>
        </w:rPr>
        <w:t xml:space="preserve"> </w:t>
      </w:r>
      <w:r w:rsidR="00514047" w:rsidRPr="00514047">
        <w:rPr>
          <w:rFonts w:eastAsia="Calibri"/>
          <w:i/>
          <w:color w:val="000000"/>
          <w:sz w:val="22"/>
          <w:szCs w:val="22"/>
          <w:lang w:val="en-US" w:eastAsia="el-GR"/>
        </w:rPr>
        <w:t xml:space="preserve"> </w:t>
      </w:r>
      <w:proofErr w:type="spellStart"/>
      <w:r w:rsidR="00160170">
        <w:rPr>
          <w:lang w:val="en-US"/>
        </w:rPr>
        <w:t>Methority</w:t>
      </w:r>
      <w:proofErr w:type="spellEnd"/>
      <w:r w:rsidR="00160170">
        <w:rPr>
          <w:lang w:val="en-US"/>
        </w:rPr>
        <w:t xml:space="preserve"> AB is a start-up that develops AI solutions for industry and will supervise the ESR in developing the genomics benchmark. Ericsson AB is a world leader wireless telecom infrastructure. Ericsson</w:t>
      </w:r>
      <w:r w:rsidR="008305D6">
        <w:rPr>
          <w:lang w:val="en-US"/>
        </w:rPr>
        <w:t xml:space="preserve"> Research in Lund</w:t>
      </w:r>
      <w:r w:rsidR="00160170">
        <w:rPr>
          <w:lang w:val="en-US"/>
        </w:rPr>
        <w:t xml:space="preserve"> will guide supervise the ESR in developing an augmented reality benchmark.</w:t>
      </w:r>
    </w:p>
    <w:p w14:paraId="1F6D2E79" w14:textId="77777777" w:rsidR="00A952AB" w:rsidRDefault="00A952AB" w:rsidP="005568F6">
      <w:pPr>
        <w:rPr>
          <w:b/>
          <w:bCs/>
        </w:rPr>
      </w:pPr>
    </w:p>
    <w:p w14:paraId="07BCAB76" w14:textId="41A2D90A" w:rsidR="005568F6" w:rsidRDefault="005568F6" w:rsidP="005568F6">
      <w:r w:rsidRPr="005568F6">
        <w:rPr>
          <w:b/>
          <w:bCs/>
        </w:rPr>
        <w:t>Eligibility criteria:</w:t>
      </w:r>
      <w:r>
        <w:t xml:space="preserve"> please check carefully that you are eligible; all conditions below are compulsory</w:t>
      </w:r>
    </w:p>
    <w:p w14:paraId="6C0A7A26" w14:textId="77777777" w:rsidR="005568F6" w:rsidRDefault="005568F6" w:rsidP="005568F6"/>
    <w:p w14:paraId="68FCEB0E" w14:textId="598CDA3F" w:rsidR="005568F6" w:rsidRDefault="005568F6" w:rsidP="005568F6">
      <w:r w:rsidRPr="00757673">
        <w:rPr>
          <w:b/>
          <w:bCs/>
        </w:rPr>
        <w:t>Transnational mobility:</w:t>
      </w:r>
      <w:r>
        <w:t xml:space="preserve"> The researcher must not have resided or carried out their main activity (work, studies, etc.) in the country of the host organization for more than 12 months in the 3 years immediately prior to the start date</w:t>
      </w:r>
      <w:r w:rsidR="00A952AB">
        <w:t xml:space="preserve">. </w:t>
      </w:r>
      <w:r>
        <w:t>Note: the mobility rule applies to the (</w:t>
      </w:r>
      <w:r w:rsidR="00757673">
        <w:t>main</w:t>
      </w:r>
      <w:r>
        <w:t xml:space="preserve">) beneficiary where the researcher is recruited, and not to </w:t>
      </w:r>
      <w:r w:rsidR="004D155F">
        <w:t xml:space="preserve">partners </w:t>
      </w:r>
      <w:r>
        <w:t>to which the researcher is sent or seconded. It is also only determined at one point in time: at the time when the ESR starts working for A</w:t>
      </w:r>
      <w:r w:rsidR="00757673">
        <w:t>PROPOS</w:t>
      </w:r>
      <w:r>
        <w:t xml:space="preserve">. </w:t>
      </w:r>
    </w:p>
    <w:p w14:paraId="49D25D9D" w14:textId="77777777" w:rsidR="005568F6" w:rsidRDefault="005568F6" w:rsidP="005568F6"/>
    <w:p w14:paraId="265E2E99" w14:textId="4D534BCC" w:rsidR="005568F6" w:rsidRDefault="005568F6" w:rsidP="005568F6">
      <w:r w:rsidRPr="00757673">
        <w:rPr>
          <w:b/>
          <w:bCs/>
        </w:rPr>
        <w:t>Early-Stage Researchers (ESRs)/fresh MSc graduates:</w:t>
      </w:r>
      <w:r>
        <w:t xml:space="preserve"> All researchers recruited in </w:t>
      </w:r>
      <w:r w:rsidR="00757673">
        <w:t>APROPOS</w:t>
      </w:r>
      <w:r>
        <w:t xml:space="preserve"> must have </w:t>
      </w:r>
      <w:r w:rsidR="00403487">
        <w:t>less than</w:t>
      </w:r>
      <w:r>
        <w:t xml:space="preserve"> 4 years since the completion of their first MSc degree and have not been awarded any doctoral degree at the date of the employment.</w:t>
      </w:r>
    </w:p>
    <w:p w14:paraId="062E5FE7" w14:textId="77777777" w:rsidR="005568F6" w:rsidRDefault="005568F6" w:rsidP="005568F6"/>
    <w:p w14:paraId="3C21DCDC" w14:textId="12E921DE" w:rsidR="005568F6" w:rsidRDefault="005568F6" w:rsidP="005568F6">
      <w:r w:rsidRPr="00757673">
        <w:rPr>
          <w:b/>
          <w:bCs/>
        </w:rPr>
        <w:t>Background requirements:</w:t>
      </w:r>
      <w:r>
        <w:t xml:space="preserve"> </w:t>
      </w:r>
      <w:r w:rsidR="00757673">
        <w:t>T</w:t>
      </w:r>
      <w:r>
        <w:t xml:space="preserve">he applicant must be in possession of Master of Science (MSc) diploma in a relevant field, such as: </w:t>
      </w:r>
      <w:r w:rsidR="00A65C8B">
        <w:t>computer science</w:t>
      </w:r>
      <w:r>
        <w:t>,</w:t>
      </w:r>
      <w:r w:rsidR="00A65C8B">
        <w:t xml:space="preserve"> electrical engineering</w:t>
      </w:r>
      <w:r>
        <w:t xml:space="preserve"> et</w:t>
      </w:r>
      <w:r w:rsidR="00757673">
        <w:t>c.</w:t>
      </w:r>
      <w:r w:rsidR="00A65C8B">
        <w:t xml:space="preserve"> The applicant is expected to have a strong background in maths and algorithms, </w:t>
      </w:r>
      <w:r w:rsidR="00CF1AAC">
        <w:t xml:space="preserve">optimization methods, numerical methods. The applicant is also expected to have a good understanding of </w:t>
      </w:r>
      <w:r w:rsidR="00A65C8B">
        <w:t>compilers, computer architecture and digital design.</w:t>
      </w:r>
    </w:p>
    <w:p w14:paraId="7A22C9BF" w14:textId="77777777" w:rsidR="005568F6" w:rsidRDefault="005568F6" w:rsidP="005568F6"/>
    <w:p w14:paraId="6040EFD3" w14:textId="55DA6583" w:rsidR="005568F6" w:rsidRDefault="005568F6" w:rsidP="005568F6">
      <w:r w:rsidRPr="00757673">
        <w:rPr>
          <w:b/>
          <w:bCs/>
        </w:rPr>
        <w:t>English language requirements:</w:t>
      </w:r>
      <w:r>
        <w:t xml:space="preserve"> </w:t>
      </w:r>
      <w:r w:rsidR="00757673">
        <w:t>T</w:t>
      </w:r>
      <w:r>
        <w:t>he candidate must be in possession of an English certificate with good level according to the regulations of the universit</w:t>
      </w:r>
      <w:r w:rsidR="00757673">
        <w:t>y</w:t>
      </w:r>
      <w:r>
        <w:t xml:space="preserve"> </w:t>
      </w:r>
      <w:r w:rsidR="004D155F">
        <w:t>to which the student will be enrolled for the</w:t>
      </w:r>
      <w:r>
        <w:t xml:space="preserve"> PhD degree</w:t>
      </w:r>
      <w:r w:rsidR="00757673">
        <w:t xml:space="preserve"> – check the degree requirements</w:t>
      </w:r>
      <w:r w:rsidR="00403487">
        <w:t xml:space="preserve"> of the corresponding doctoral program for details</w:t>
      </w:r>
      <w:r w:rsidR="00757673">
        <w:t>.</w:t>
      </w:r>
    </w:p>
    <w:p w14:paraId="1B39B81A" w14:textId="10588647" w:rsidR="00757673" w:rsidRDefault="00757673" w:rsidP="005568F6"/>
    <w:p w14:paraId="171B5503" w14:textId="1DE55932" w:rsidR="00757673" w:rsidRPr="004C40EE" w:rsidRDefault="00757673" w:rsidP="00757673">
      <w:r w:rsidRPr="00D624A2">
        <w:rPr>
          <w:b/>
          <w:bCs/>
        </w:rPr>
        <w:t xml:space="preserve">Additional information: </w:t>
      </w:r>
      <w:r w:rsidR="004C40EE" w:rsidRPr="00D624A2">
        <w:t xml:space="preserve">The contact person at KTH for human resources is Ms. </w:t>
      </w:r>
      <w:proofErr w:type="spellStart"/>
      <w:r w:rsidR="004C40EE" w:rsidRPr="00D624A2">
        <w:t>Tysse</w:t>
      </w:r>
      <w:proofErr w:type="spellEnd"/>
      <w:r w:rsidR="004C40EE" w:rsidRPr="00D624A2">
        <w:t xml:space="preserve"> </w:t>
      </w:r>
      <w:proofErr w:type="spellStart"/>
      <w:r w:rsidR="004C40EE" w:rsidRPr="00D624A2">
        <w:t>Norlindh</w:t>
      </w:r>
      <w:proofErr w:type="spellEnd"/>
      <w:r w:rsidR="004C40EE" w:rsidRPr="00D624A2">
        <w:t xml:space="preserve"> Falk. She can be contacted at </w:t>
      </w:r>
      <w:hyperlink r:id="rId18" w:history="1">
        <w:r w:rsidR="001B7173" w:rsidRPr="00D624A2">
          <w:rPr>
            <w:rStyle w:val="Hyperlink"/>
          </w:rPr>
          <w:t>rekrytering@eecs.kth.se</w:t>
        </w:r>
      </w:hyperlink>
      <w:r w:rsidR="001B7173" w:rsidRPr="00D624A2">
        <w:t>.  Prof. Ahmed Hemani, who will be the main supervisor, can be contacted at hemani@kth.se</w:t>
      </w:r>
    </w:p>
    <w:p w14:paraId="2F241A8D" w14:textId="77777777" w:rsidR="00757673" w:rsidRPr="00182FB1" w:rsidRDefault="00757673" w:rsidP="005568F6"/>
    <w:sectPr w:rsidR="00757673" w:rsidRPr="00182FB1" w:rsidSect="0017097E">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ksandr Ometov (TAU)" w:date="2020-11-09T15:41:00Z" w:initials="AO(">
    <w:p w14:paraId="60AF5C09" w14:textId="0FBBA1C7" w:rsidR="00136454" w:rsidRDefault="00136454">
      <w:pPr>
        <w:pStyle w:val="CommentText"/>
      </w:pPr>
      <w:r>
        <w:rPr>
          <w:rStyle w:val="CommentReference"/>
        </w:rPr>
        <w:annotationRef/>
      </w:r>
      <w:r w:rsidR="00F465FB" w:rsidRPr="009952FC">
        <w:t xml:space="preserve">Position duration could not be </w:t>
      </w:r>
      <w:r w:rsidR="00F465FB">
        <w:rPr>
          <w:lang w:val="en-US"/>
        </w:rPr>
        <w:t>5</w:t>
      </w:r>
      <w:r w:rsidR="00F465FB" w:rsidRPr="009952FC">
        <w:t xml:space="preserve"> </w:t>
      </w:r>
      <w:r w:rsidR="00F465FB">
        <w:rPr>
          <w:lang w:val="en-US"/>
        </w:rPr>
        <w:t xml:space="preserve">years </w:t>
      </w:r>
      <w:r w:rsidR="00F465FB" w:rsidRPr="009952FC">
        <w:t xml:space="preserve">- it </w:t>
      </w:r>
      <w:r w:rsidR="00F465FB">
        <w:t xml:space="preserve">should </w:t>
      </w:r>
      <w:r w:rsidR="00F465FB" w:rsidRPr="0097097E">
        <w:rPr>
          <w:rFonts w:asciiTheme="minorHAnsi" w:eastAsiaTheme="minorHAnsi" w:hAnsiTheme="minorHAnsi" w:cstheme="minorBidi"/>
          <w:sz w:val="24"/>
          <w:szCs w:val="24"/>
          <w:lang w:eastAsia="en-US"/>
        </w:rPr>
        <w:annotationRef/>
      </w:r>
      <w:r w:rsidR="00F465FB">
        <w:t xml:space="preserve">be </w:t>
      </w:r>
      <w:r w:rsidR="00F465FB" w:rsidRPr="0097097E">
        <w:rPr>
          <w:rFonts w:asciiTheme="minorHAnsi" w:eastAsiaTheme="minorHAnsi" w:hAnsiTheme="minorHAnsi" w:cstheme="minorBidi"/>
          <w:sz w:val="24"/>
          <w:szCs w:val="24"/>
          <w:lang w:eastAsia="en-US"/>
        </w:rPr>
        <w:t xml:space="preserve">36 months in every position. You may specify the </w:t>
      </w:r>
      <w:r w:rsidR="00F465FB">
        <w:rPr>
          <w:rFonts w:asciiTheme="minorHAnsi" w:eastAsiaTheme="minorHAnsi" w:hAnsiTheme="minorHAnsi" w:cstheme="minorBidi"/>
          <w:sz w:val="24"/>
          <w:szCs w:val="24"/>
          <w:lang w:eastAsia="en-US"/>
        </w:rPr>
        <w:t>need to find funding for 4</w:t>
      </w:r>
      <w:r w:rsidR="00F465FB" w:rsidRPr="00F465FB">
        <w:rPr>
          <w:rFonts w:asciiTheme="minorHAnsi" w:eastAsiaTheme="minorHAnsi" w:hAnsiTheme="minorHAnsi" w:cstheme="minorBidi"/>
          <w:sz w:val="24"/>
          <w:szCs w:val="24"/>
          <w:vertAlign w:val="superscript"/>
          <w:lang w:eastAsia="en-US"/>
        </w:rPr>
        <w:t>th</w:t>
      </w:r>
      <w:r w:rsidR="00F465FB">
        <w:rPr>
          <w:rFonts w:asciiTheme="minorHAnsi" w:eastAsiaTheme="minorHAnsi" w:hAnsiTheme="minorHAnsi" w:cstheme="minorBidi"/>
          <w:sz w:val="24"/>
          <w:szCs w:val="24"/>
          <w:lang w:eastAsia="en-US"/>
        </w:rPr>
        <w:t>-5</w:t>
      </w:r>
      <w:r w:rsidR="00F465FB" w:rsidRPr="0097097E">
        <w:rPr>
          <w:rFonts w:asciiTheme="minorHAnsi" w:eastAsiaTheme="minorHAnsi" w:hAnsiTheme="minorHAnsi" w:cstheme="minorBidi"/>
          <w:sz w:val="24"/>
          <w:szCs w:val="24"/>
          <w:vertAlign w:val="superscript"/>
          <w:lang w:eastAsia="en-US"/>
        </w:rPr>
        <w:t>th</w:t>
      </w:r>
      <w:r w:rsidR="00F465FB" w:rsidRPr="0097097E">
        <w:rPr>
          <w:rFonts w:asciiTheme="minorHAnsi" w:eastAsiaTheme="minorHAnsi" w:hAnsiTheme="minorHAnsi" w:cstheme="minorBidi"/>
          <w:sz w:val="24"/>
          <w:szCs w:val="24"/>
          <w:lang w:eastAsia="en-US"/>
        </w:rPr>
        <w:t xml:space="preserve"> year during the interview.</w:t>
      </w:r>
      <w:r w:rsidR="00F465F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AF5C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3E193" w16cex:dateUtc="2020-11-09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AF5C09" w16cid:durableId="2353E1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52CEE" w14:textId="77777777" w:rsidR="004B4567" w:rsidRDefault="004B4567" w:rsidP="00182FB1">
      <w:r>
        <w:separator/>
      </w:r>
    </w:p>
  </w:endnote>
  <w:endnote w:type="continuationSeparator" w:id="0">
    <w:p w14:paraId="4C346AB4" w14:textId="77777777" w:rsidR="004B4567" w:rsidRDefault="004B4567" w:rsidP="0018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332A4" w14:textId="77777777" w:rsidR="00CB7399" w:rsidRDefault="00CB7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AEB2" w14:textId="3A3D5350" w:rsidR="00414806" w:rsidRPr="00182FB1" w:rsidRDefault="00414806" w:rsidP="00182FB1">
    <w:pPr>
      <w:pStyle w:val="Footer"/>
      <w:rPr>
        <w:sz w:val="16"/>
        <w:szCs w:val="16"/>
        <w:lang w:val="en-US"/>
      </w:rPr>
    </w:pPr>
    <w:r w:rsidRPr="00182FB1">
      <w:rPr>
        <w:noProof/>
        <w:sz w:val="16"/>
        <w:szCs w:val="16"/>
        <w:lang w:val="fi-FI" w:eastAsia="fi-FI"/>
      </w:rPr>
      <w:drawing>
        <wp:anchor distT="0" distB="0" distL="114300" distR="114300" simplePos="0" relativeHeight="251660288" behindDoc="0" locked="0" layoutInCell="1" allowOverlap="1" wp14:anchorId="41E37BCB" wp14:editId="067EB4E5">
          <wp:simplePos x="0" y="0"/>
          <wp:positionH relativeFrom="column">
            <wp:posOffset>5440469</wp:posOffset>
          </wp:positionH>
          <wp:positionV relativeFrom="paragraph">
            <wp:posOffset>-45085</wp:posOffset>
          </wp:positionV>
          <wp:extent cx="258223" cy="248355"/>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223" cy="248355"/>
                  </a:xfrm>
                  <a:prstGeom prst="rect">
                    <a:avLst/>
                  </a:prstGeom>
                </pic:spPr>
              </pic:pic>
            </a:graphicData>
          </a:graphic>
          <wp14:sizeRelH relativeFrom="page">
            <wp14:pctWidth>0</wp14:pctWidth>
          </wp14:sizeRelH>
          <wp14:sizeRelV relativeFrom="page">
            <wp14:pctHeight>0</wp14:pctHeight>
          </wp14:sizeRelV>
        </wp:anchor>
      </w:drawing>
    </w:r>
    <w:r w:rsidRPr="00182FB1">
      <w:rPr>
        <w:sz w:val="16"/>
        <w:szCs w:val="16"/>
      </w:rPr>
      <w:t>Approximate Computing for Power and Energy Optimisation</w:t>
    </w:r>
    <w:r w:rsidRPr="00182FB1">
      <w:rPr>
        <w:sz w:val="16"/>
        <w:szCs w:val="16"/>
        <w:lang w:val="en-US"/>
      </w:rPr>
      <w:t xml:space="preserve"> (</w:t>
    </w:r>
    <w:proofErr w:type="gramStart"/>
    <w:r w:rsidRPr="00182FB1">
      <w:rPr>
        <w:sz w:val="16"/>
        <w:szCs w:val="16"/>
        <w:lang w:val="en-US"/>
      </w:rPr>
      <w:t xml:space="preserve">APROPOS) </w:t>
    </w:r>
    <w:r w:rsidR="000E0E14">
      <w:rPr>
        <w:sz w:val="16"/>
        <w:szCs w:val="16"/>
        <w:lang w:val="en-US"/>
      </w:rPr>
      <w:t xml:space="preserve">  </w:t>
    </w:r>
    <w:proofErr w:type="gramEnd"/>
    <w:r w:rsidR="000E0E14">
      <w:rPr>
        <w:sz w:val="16"/>
        <w:szCs w:val="16"/>
        <w:lang w:val="en-US"/>
      </w:rPr>
      <w:t xml:space="preserve">                                                      </w:t>
    </w:r>
    <w:hyperlink r:id="rId2" w:history="1">
      <w:r w:rsidR="000E0E14" w:rsidRPr="00693873">
        <w:rPr>
          <w:rStyle w:val="Hyperlink"/>
          <w:sz w:val="16"/>
          <w:szCs w:val="16"/>
          <w:lang w:val="en-US"/>
        </w:rPr>
        <w:t>https://apropos-itn.eu</w:t>
      </w:r>
    </w:hyperlink>
    <w:r w:rsidRPr="00182FB1">
      <w:rPr>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6A00" w14:textId="77777777" w:rsidR="00CB7399" w:rsidRDefault="00CB7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C4067" w14:textId="77777777" w:rsidR="004B4567" w:rsidRDefault="004B4567" w:rsidP="00182FB1">
      <w:r>
        <w:separator/>
      </w:r>
    </w:p>
  </w:footnote>
  <w:footnote w:type="continuationSeparator" w:id="0">
    <w:p w14:paraId="530C98B5" w14:textId="77777777" w:rsidR="004B4567" w:rsidRDefault="004B4567" w:rsidP="0018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4670" w14:textId="77777777" w:rsidR="00CB7399" w:rsidRDefault="00CB7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01017" w14:textId="6E4D3BA5" w:rsidR="00414806" w:rsidRPr="008E4ACB" w:rsidRDefault="00414806" w:rsidP="00182FB1">
    <w:pPr>
      <w:jc w:val="right"/>
      <w:rPr>
        <w:sz w:val="21"/>
        <w:szCs w:val="21"/>
      </w:rPr>
    </w:pPr>
    <w:r w:rsidRPr="008E4ACB">
      <w:rPr>
        <w:noProof/>
        <w:sz w:val="21"/>
        <w:szCs w:val="21"/>
        <w:lang w:val="fi-FI" w:eastAsia="fi-FI"/>
      </w:rPr>
      <w:drawing>
        <wp:anchor distT="0" distB="0" distL="114300" distR="114300" simplePos="0" relativeHeight="251658240" behindDoc="0" locked="0" layoutInCell="1" allowOverlap="1" wp14:anchorId="6852A695" wp14:editId="10F18438">
          <wp:simplePos x="0" y="0"/>
          <wp:positionH relativeFrom="column">
            <wp:posOffset>0</wp:posOffset>
          </wp:positionH>
          <wp:positionV relativeFrom="paragraph">
            <wp:posOffset>-38029</wp:posOffset>
          </wp:positionV>
          <wp:extent cx="1727200" cy="323994"/>
          <wp:effectExtent l="0" t="0" r="0" b="0"/>
          <wp:wrapNone/>
          <wp:docPr id="1" name="Picture 1" descr="A picture containing draw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7200" cy="323994"/>
                  </a:xfrm>
                  <a:prstGeom prst="rect">
                    <a:avLst/>
                  </a:prstGeom>
                </pic:spPr>
              </pic:pic>
            </a:graphicData>
          </a:graphic>
          <wp14:sizeRelH relativeFrom="page">
            <wp14:pctWidth>0</wp14:pctWidth>
          </wp14:sizeRelH>
          <wp14:sizeRelV relativeFrom="page">
            <wp14:pctHeight>0</wp14:pctHeight>
          </wp14:sizeRelV>
        </wp:anchor>
      </w:drawing>
    </w:r>
    <w:r w:rsidRPr="008E4ACB">
      <w:rPr>
        <w:sz w:val="21"/>
        <w:szCs w:val="21"/>
      </w:rPr>
      <w:t xml:space="preserve">Description of ESR </w:t>
    </w:r>
    <w:proofErr w:type="gramStart"/>
    <w:r w:rsidR="00CB7399">
      <w:rPr>
        <w:sz w:val="21"/>
        <w:szCs w:val="21"/>
      </w:rPr>
      <w:t xml:space="preserve">5 </w:t>
    </w:r>
    <w:r w:rsidRPr="008E4ACB">
      <w:rPr>
        <w:sz w:val="21"/>
        <w:szCs w:val="21"/>
      </w:rPr>
      <w:t xml:space="preserve"> Position</w:t>
    </w:r>
    <w:proofErr w:type="gramEnd"/>
    <w:r w:rsidRPr="008E4ACB">
      <w:rPr>
        <w:sz w:val="21"/>
        <w:szCs w:val="21"/>
      </w:rPr>
      <w:t xml:space="preserve"> for APROPOS project</w:t>
    </w:r>
  </w:p>
  <w:p w14:paraId="65153CF9" w14:textId="304719AE" w:rsidR="00414806" w:rsidRPr="008E4ACB" w:rsidRDefault="00414806" w:rsidP="00182FB1">
    <w:pPr>
      <w:pStyle w:val="Header"/>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61AF" w14:textId="77777777" w:rsidR="00CB7399" w:rsidRDefault="00CB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1216"/>
    <w:multiLevelType w:val="hybridMultilevel"/>
    <w:tmpl w:val="24EA960A"/>
    <w:lvl w:ilvl="0" w:tplc="20000001">
      <w:start w:val="1"/>
      <w:numFmt w:val="bullet"/>
      <w:lvlText w:val=""/>
      <w:lvlJc w:val="left"/>
      <w:pPr>
        <w:ind w:left="300" w:hanging="111"/>
      </w:pPr>
      <w:rPr>
        <w:rFonts w:ascii="Symbol" w:hAnsi="Symbol" w:hint="default"/>
        <w:b/>
        <w:bCs/>
        <w:w w:val="102"/>
        <w:sz w:val="18"/>
        <w:szCs w:val="18"/>
      </w:rPr>
    </w:lvl>
    <w:lvl w:ilvl="1" w:tplc="77882D96">
      <w:numFmt w:val="bullet"/>
      <w:lvlText w:val="•"/>
      <w:lvlJc w:val="left"/>
      <w:pPr>
        <w:ind w:left="1172" w:hanging="111"/>
      </w:pPr>
      <w:rPr>
        <w:rFonts w:hint="default"/>
      </w:rPr>
    </w:lvl>
    <w:lvl w:ilvl="2" w:tplc="261A3B7C">
      <w:numFmt w:val="bullet"/>
      <w:lvlText w:val="•"/>
      <w:lvlJc w:val="left"/>
      <w:pPr>
        <w:ind w:left="2044" w:hanging="111"/>
      </w:pPr>
      <w:rPr>
        <w:rFonts w:hint="default"/>
      </w:rPr>
    </w:lvl>
    <w:lvl w:ilvl="3" w:tplc="85EAF1D4">
      <w:numFmt w:val="bullet"/>
      <w:lvlText w:val="•"/>
      <w:lvlJc w:val="left"/>
      <w:pPr>
        <w:ind w:left="2916" w:hanging="111"/>
      </w:pPr>
      <w:rPr>
        <w:rFonts w:hint="default"/>
      </w:rPr>
    </w:lvl>
    <w:lvl w:ilvl="4" w:tplc="D620481C">
      <w:numFmt w:val="bullet"/>
      <w:lvlText w:val="•"/>
      <w:lvlJc w:val="left"/>
      <w:pPr>
        <w:ind w:left="3788" w:hanging="111"/>
      </w:pPr>
      <w:rPr>
        <w:rFonts w:hint="default"/>
      </w:rPr>
    </w:lvl>
    <w:lvl w:ilvl="5" w:tplc="ABA0B2C4">
      <w:numFmt w:val="bullet"/>
      <w:lvlText w:val="•"/>
      <w:lvlJc w:val="left"/>
      <w:pPr>
        <w:ind w:left="4660" w:hanging="111"/>
      </w:pPr>
      <w:rPr>
        <w:rFonts w:hint="default"/>
      </w:rPr>
    </w:lvl>
    <w:lvl w:ilvl="6" w:tplc="989AC128">
      <w:numFmt w:val="bullet"/>
      <w:lvlText w:val="•"/>
      <w:lvlJc w:val="left"/>
      <w:pPr>
        <w:ind w:left="5532" w:hanging="111"/>
      </w:pPr>
      <w:rPr>
        <w:rFonts w:hint="default"/>
      </w:rPr>
    </w:lvl>
    <w:lvl w:ilvl="7" w:tplc="B6A217AA">
      <w:numFmt w:val="bullet"/>
      <w:lvlText w:val="•"/>
      <w:lvlJc w:val="left"/>
      <w:pPr>
        <w:ind w:left="6404" w:hanging="111"/>
      </w:pPr>
      <w:rPr>
        <w:rFonts w:hint="default"/>
      </w:rPr>
    </w:lvl>
    <w:lvl w:ilvl="8" w:tplc="1598E5E6">
      <w:numFmt w:val="bullet"/>
      <w:lvlText w:val="•"/>
      <w:lvlJc w:val="left"/>
      <w:pPr>
        <w:ind w:left="7276" w:hanging="111"/>
      </w:pPr>
      <w:rPr>
        <w:rFonts w:hint="default"/>
      </w:rPr>
    </w:lvl>
  </w:abstractNum>
  <w:abstractNum w:abstractNumId="1" w15:restartNumberingAfterBreak="0">
    <w:nsid w:val="09831553"/>
    <w:multiLevelType w:val="hybridMultilevel"/>
    <w:tmpl w:val="B476899E"/>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60B25"/>
    <w:multiLevelType w:val="multilevel"/>
    <w:tmpl w:val="0809001D"/>
    <w:styleLink w:val="Universitiesnumberedlist"/>
    <w:lvl w:ilvl="0">
      <w:start w:val="1"/>
      <w:numFmt w:val="lowerLetter"/>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C54C96"/>
    <w:multiLevelType w:val="hybridMultilevel"/>
    <w:tmpl w:val="A37E9FB8"/>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C22D9"/>
    <w:multiLevelType w:val="hybridMultilevel"/>
    <w:tmpl w:val="4CBE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C204D"/>
    <w:multiLevelType w:val="hybridMultilevel"/>
    <w:tmpl w:val="B2842528"/>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FA3158"/>
    <w:multiLevelType w:val="hybridMultilevel"/>
    <w:tmpl w:val="F01854BC"/>
    <w:lvl w:ilvl="0" w:tplc="20000001">
      <w:start w:val="1"/>
      <w:numFmt w:val="bullet"/>
      <w:lvlText w:val=""/>
      <w:lvlJc w:val="left"/>
      <w:pPr>
        <w:ind w:left="720" w:hanging="360"/>
      </w:pPr>
      <w:rPr>
        <w:rFonts w:ascii="Symbol" w:hAnsi="Symbol" w:hint="default"/>
      </w:rPr>
    </w:lvl>
    <w:lvl w:ilvl="1" w:tplc="3E9C3D10">
      <w:numFmt w:val="bullet"/>
      <w:lvlText w:val="•"/>
      <w:lvlJc w:val="left"/>
      <w:pPr>
        <w:ind w:left="1440" w:hanging="360"/>
      </w:pPr>
      <w:rPr>
        <w:rFonts w:ascii="Calibri" w:eastAsia="Times New Roman"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A51C6B"/>
    <w:multiLevelType w:val="hybridMultilevel"/>
    <w:tmpl w:val="ED3A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052DA6"/>
    <w:multiLevelType w:val="hybridMultilevel"/>
    <w:tmpl w:val="019C2DE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E5130AE"/>
    <w:multiLevelType w:val="hybridMultilevel"/>
    <w:tmpl w:val="6074A7AE"/>
    <w:lvl w:ilvl="0" w:tplc="20000001">
      <w:start w:val="1"/>
      <w:numFmt w:val="bullet"/>
      <w:lvlText w:val=""/>
      <w:lvlJc w:val="left"/>
      <w:pPr>
        <w:ind w:left="1020" w:hanging="360"/>
      </w:pPr>
      <w:rPr>
        <w:rFonts w:ascii="Symbol" w:hAnsi="Symbol" w:hint="default"/>
      </w:rPr>
    </w:lvl>
    <w:lvl w:ilvl="1" w:tplc="20000003" w:tentative="1">
      <w:start w:val="1"/>
      <w:numFmt w:val="bullet"/>
      <w:lvlText w:val="o"/>
      <w:lvlJc w:val="left"/>
      <w:pPr>
        <w:ind w:left="1740" w:hanging="360"/>
      </w:pPr>
      <w:rPr>
        <w:rFonts w:ascii="Courier New" w:hAnsi="Courier New" w:cs="Courier New" w:hint="default"/>
      </w:rPr>
    </w:lvl>
    <w:lvl w:ilvl="2" w:tplc="20000005" w:tentative="1">
      <w:start w:val="1"/>
      <w:numFmt w:val="bullet"/>
      <w:lvlText w:val=""/>
      <w:lvlJc w:val="left"/>
      <w:pPr>
        <w:ind w:left="2460" w:hanging="360"/>
      </w:pPr>
      <w:rPr>
        <w:rFonts w:ascii="Wingdings" w:hAnsi="Wingdings" w:hint="default"/>
      </w:rPr>
    </w:lvl>
    <w:lvl w:ilvl="3" w:tplc="20000001" w:tentative="1">
      <w:start w:val="1"/>
      <w:numFmt w:val="bullet"/>
      <w:lvlText w:val=""/>
      <w:lvlJc w:val="left"/>
      <w:pPr>
        <w:ind w:left="3180" w:hanging="360"/>
      </w:pPr>
      <w:rPr>
        <w:rFonts w:ascii="Symbol" w:hAnsi="Symbol" w:hint="default"/>
      </w:rPr>
    </w:lvl>
    <w:lvl w:ilvl="4" w:tplc="20000003" w:tentative="1">
      <w:start w:val="1"/>
      <w:numFmt w:val="bullet"/>
      <w:lvlText w:val="o"/>
      <w:lvlJc w:val="left"/>
      <w:pPr>
        <w:ind w:left="3900" w:hanging="360"/>
      </w:pPr>
      <w:rPr>
        <w:rFonts w:ascii="Courier New" w:hAnsi="Courier New" w:cs="Courier New" w:hint="default"/>
      </w:rPr>
    </w:lvl>
    <w:lvl w:ilvl="5" w:tplc="20000005" w:tentative="1">
      <w:start w:val="1"/>
      <w:numFmt w:val="bullet"/>
      <w:lvlText w:val=""/>
      <w:lvlJc w:val="left"/>
      <w:pPr>
        <w:ind w:left="4620" w:hanging="360"/>
      </w:pPr>
      <w:rPr>
        <w:rFonts w:ascii="Wingdings" w:hAnsi="Wingdings" w:hint="default"/>
      </w:rPr>
    </w:lvl>
    <w:lvl w:ilvl="6" w:tplc="20000001" w:tentative="1">
      <w:start w:val="1"/>
      <w:numFmt w:val="bullet"/>
      <w:lvlText w:val=""/>
      <w:lvlJc w:val="left"/>
      <w:pPr>
        <w:ind w:left="5340" w:hanging="360"/>
      </w:pPr>
      <w:rPr>
        <w:rFonts w:ascii="Symbol" w:hAnsi="Symbol" w:hint="default"/>
      </w:rPr>
    </w:lvl>
    <w:lvl w:ilvl="7" w:tplc="20000003" w:tentative="1">
      <w:start w:val="1"/>
      <w:numFmt w:val="bullet"/>
      <w:lvlText w:val="o"/>
      <w:lvlJc w:val="left"/>
      <w:pPr>
        <w:ind w:left="6060" w:hanging="360"/>
      </w:pPr>
      <w:rPr>
        <w:rFonts w:ascii="Courier New" w:hAnsi="Courier New" w:cs="Courier New" w:hint="default"/>
      </w:rPr>
    </w:lvl>
    <w:lvl w:ilvl="8" w:tplc="20000005" w:tentative="1">
      <w:start w:val="1"/>
      <w:numFmt w:val="bullet"/>
      <w:lvlText w:val=""/>
      <w:lvlJc w:val="left"/>
      <w:pPr>
        <w:ind w:left="6780" w:hanging="360"/>
      </w:pPr>
      <w:rPr>
        <w:rFonts w:ascii="Wingdings" w:hAnsi="Wingdings" w:hint="default"/>
      </w:rPr>
    </w:lvl>
  </w:abstractNum>
  <w:abstractNum w:abstractNumId="10" w15:restartNumberingAfterBreak="0">
    <w:nsid w:val="4F6064BE"/>
    <w:multiLevelType w:val="hybridMultilevel"/>
    <w:tmpl w:val="584CEF78"/>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40500"/>
    <w:multiLevelType w:val="hybridMultilevel"/>
    <w:tmpl w:val="1226C320"/>
    <w:lvl w:ilvl="0" w:tplc="2000000F">
      <w:start w:val="1"/>
      <w:numFmt w:val="decimal"/>
      <w:lvlText w:val="%1."/>
      <w:lvlJc w:val="left"/>
      <w:pPr>
        <w:ind w:left="300" w:hanging="111"/>
      </w:pPr>
      <w:rPr>
        <w:rFonts w:hint="default"/>
        <w:b/>
        <w:bCs/>
        <w:w w:val="102"/>
        <w:sz w:val="18"/>
        <w:szCs w:val="18"/>
      </w:rPr>
    </w:lvl>
    <w:lvl w:ilvl="1" w:tplc="77882D96">
      <w:numFmt w:val="bullet"/>
      <w:lvlText w:val="•"/>
      <w:lvlJc w:val="left"/>
      <w:pPr>
        <w:ind w:left="1172" w:hanging="111"/>
      </w:pPr>
      <w:rPr>
        <w:rFonts w:hint="default"/>
      </w:rPr>
    </w:lvl>
    <w:lvl w:ilvl="2" w:tplc="261A3B7C">
      <w:numFmt w:val="bullet"/>
      <w:lvlText w:val="•"/>
      <w:lvlJc w:val="left"/>
      <w:pPr>
        <w:ind w:left="2044" w:hanging="111"/>
      </w:pPr>
      <w:rPr>
        <w:rFonts w:hint="default"/>
      </w:rPr>
    </w:lvl>
    <w:lvl w:ilvl="3" w:tplc="85EAF1D4">
      <w:numFmt w:val="bullet"/>
      <w:lvlText w:val="•"/>
      <w:lvlJc w:val="left"/>
      <w:pPr>
        <w:ind w:left="2916" w:hanging="111"/>
      </w:pPr>
      <w:rPr>
        <w:rFonts w:hint="default"/>
      </w:rPr>
    </w:lvl>
    <w:lvl w:ilvl="4" w:tplc="D620481C">
      <w:numFmt w:val="bullet"/>
      <w:lvlText w:val="•"/>
      <w:lvlJc w:val="left"/>
      <w:pPr>
        <w:ind w:left="3788" w:hanging="111"/>
      </w:pPr>
      <w:rPr>
        <w:rFonts w:hint="default"/>
      </w:rPr>
    </w:lvl>
    <w:lvl w:ilvl="5" w:tplc="ABA0B2C4">
      <w:numFmt w:val="bullet"/>
      <w:lvlText w:val="•"/>
      <w:lvlJc w:val="left"/>
      <w:pPr>
        <w:ind w:left="4660" w:hanging="111"/>
      </w:pPr>
      <w:rPr>
        <w:rFonts w:hint="default"/>
      </w:rPr>
    </w:lvl>
    <w:lvl w:ilvl="6" w:tplc="989AC128">
      <w:numFmt w:val="bullet"/>
      <w:lvlText w:val="•"/>
      <w:lvlJc w:val="left"/>
      <w:pPr>
        <w:ind w:left="5532" w:hanging="111"/>
      </w:pPr>
      <w:rPr>
        <w:rFonts w:hint="default"/>
      </w:rPr>
    </w:lvl>
    <w:lvl w:ilvl="7" w:tplc="B6A217AA">
      <w:numFmt w:val="bullet"/>
      <w:lvlText w:val="•"/>
      <w:lvlJc w:val="left"/>
      <w:pPr>
        <w:ind w:left="6404" w:hanging="111"/>
      </w:pPr>
      <w:rPr>
        <w:rFonts w:hint="default"/>
      </w:rPr>
    </w:lvl>
    <w:lvl w:ilvl="8" w:tplc="1598E5E6">
      <w:numFmt w:val="bullet"/>
      <w:lvlText w:val="•"/>
      <w:lvlJc w:val="left"/>
      <w:pPr>
        <w:ind w:left="7276" w:hanging="111"/>
      </w:pPr>
      <w:rPr>
        <w:rFonts w:hint="default"/>
      </w:rPr>
    </w:lvl>
  </w:abstractNum>
  <w:abstractNum w:abstractNumId="12" w15:restartNumberingAfterBreak="0">
    <w:nsid w:val="6300525E"/>
    <w:multiLevelType w:val="hybridMultilevel"/>
    <w:tmpl w:val="20BE9324"/>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F6002D"/>
    <w:multiLevelType w:val="hybridMultilevel"/>
    <w:tmpl w:val="E8267AAE"/>
    <w:lvl w:ilvl="0" w:tplc="0F3E149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82FB8"/>
    <w:multiLevelType w:val="hybridMultilevel"/>
    <w:tmpl w:val="E796E33A"/>
    <w:lvl w:ilvl="0" w:tplc="AD5E9C8E">
      <w:numFmt w:val="bullet"/>
      <w:lvlText w:val="•"/>
      <w:lvlJc w:val="left"/>
      <w:pPr>
        <w:ind w:left="300" w:hanging="111"/>
      </w:pPr>
      <w:rPr>
        <w:rFonts w:ascii="Times New Roman" w:eastAsia="Times New Roman" w:hAnsi="Times New Roman" w:cs="Times New Roman" w:hint="default"/>
        <w:b/>
        <w:bCs/>
        <w:w w:val="102"/>
        <w:sz w:val="18"/>
        <w:szCs w:val="18"/>
      </w:rPr>
    </w:lvl>
    <w:lvl w:ilvl="1" w:tplc="77882D96">
      <w:numFmt w:val="bullet"/>
      <w:lvlText w:val="•"/>
      <w:lvlJc w:val="left"/>
      <w:pPr>
        <w:ind w:left="1172" w:hanging="111"/>
      </w:pPr>
      <w:rPr>
        <w:rFonts w:hint="default"/>
      </w:rPr>
    </w:lvl>
    <w:lvl w:ilvl="2" w:tplc="261A3B7C">
      <w:numFmt w:val="bullet"/>
      <w:lvlText w:val="•"/>
      <w:lvlJc w:val="left"/>
      <w:pPr>
        <w:ind w:left="2044" w:hanging="111"/>
      </w:pPr>
      <w:rPr>
        <w:rFonts w:hint="default"/>
      </w:rPr>
    </w:lvl>
    <w:lvl w:ilvl="3" w:tplc="85EAF1D4">
      <w:numFmt w:val="bullet"/>
      <w:lvlText w:val="•"/>
      <w:lvlJc w:val="left"/>
      <w:pPr>
        <w:ind w:left="2916" w:hanging="111"/>
      </w:pPr>
      <w:rPr>
        <w:rFonts w:hint="default"/>
      </w:rPr>
    </w:lvl>
    <w:lvl w:ilvl="4" w:tplc="D620481C">
      <w:numFmt w:val="bullet"/>
      <w:lvlText w:val="•"/>
      <w:lvlJc w:val="left"/>
      <w:pPr>
        <w:ind w:left="3788" w:hanging="111"/>
      </w:pPr>
      <w:rPr>
        <w:rFonts w:hint="default"/>
      </w:rPr>
    </w:lvl>
    <w:lvl w:ilvl="5" w:tplc="ABA0B2C4">
      <w:numFmt w:val="bullet"/>
      <w:lvlText w:val="•"/>
      <w:lvlJc w:val="left"/>
      <w:pPr>
        <w:ind w:left="4660" w:hanging="111"/>
      </w:pPr>
      <w:rPr>
        <w:rFonts w:hint="default"/>
      </w:rPr>
    </w:lvl>
    <w:lvl w:ilvl="6" w:tplc="989AC128">
      <w:numFmt w:val="bullet"/>
      <w:lvlText w:val="•"/>
      <w:lvlJc w:val="left"/>
      <w:pPr>
        <w:ind w:left="5532" w:hanging="111"/>
      </w:pPr>
      <w:rPr>
        <w:rFonts w:hint="default"/>
      </w:rPr>
    </w:lvl>
    <w:lvl w:ilvl="7" w:tplc="B6A217AA">
      <w:numFmt w:val="bullet"/>
      <w:lvlText w:val="•"/>
      <w:lvlJc w:val="left"/>
      <w:pPr>
        <w:ind w:left="6404" w:hanging="111"/>
      </w:pPr>
      <w:rPr>
        <w:rFonts w:hint="default"/>
      </w:rPr>
    </w:lvl>
    <w:lvl w:ilvl="8" w:tplc="1598E5E6">
      <w:numFmt w:val="bullet"/>
      <w:lvlText w:val="•"/>
      <w:lvlJc w:val="left"/>
      <w:pPr>
        <w:ind w:left="7276" w:hanging="111"/>
      </w:pPr>
      <w:rPr>
        <w:rFonts w:hint="default"/>
      </w:rPr>
    </w:lvl>
  </w:abstractNum>
  <w:abstractNum w:abstractNumId="15" w15:restartNumberingAfterBreak="0">
    <w:nsid w:val="7CA93AFC"/>
    <w:multiLevelType w:val="hybridMultilevel"/>
    <w:tmpl w:val="0962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5"/>
  </w:num>
  <w:num w:numId="5">
    <w:abstractNumId w:val="15"/>
  </w:num>
  <w:num w:numId="6">
    <w:abstractNumId w:val="1"/>
  </w:num>
  <w:num w:numId="7">
    <w:abstractNumId w:val="10"/>
  </w:num>
  <w:num w:numId="8">
    <w:abstractNumId w:val="13"/>
  </w:num>
  <w:num w:numId="9">
    <w:abstractNumId w:val="3"/>
  </w:num>
  <w:num w:numId="10">
    <w:abstractNumId w:val="4"/>
  </w:num>
  <w:num w:numId="11">
    <w:abstractNumId w:val="6"/>
  </w:num>
  <w:num w:numId="12">
    <w:abstractNumId w:val="8"/>
  </w:num>
  <w:num w:numId="13">
    <w:abstractNumId w:val="14"/>
  </w:num>
  <w:num w:numId="14">
    <w:abstractNumId w:val="9"/>
  </w:num>
  <w:num w:numId="15">
    <w:abstractNumId w:val="1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ksandr Ometov (TAU)">
    <w15:presenceInfo w15:providerId="AD" w15:userId="S::aleksandr.ometov@tuni.fi::387cba5f-72f2-4159-ba24-7f9d5b6476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7B"/>
    <w:rsid w:val="00014362"/>
    <w:rsid w:val="000B5786"/>
    <w:rsid w:val="000E0E14"/>
    <w:rsid w:val="00110DB5"/>
    <w:rsid w:val="00127E8F"/>
    <w:rsid w:val="00136454"/>
    <w:rsid w:val="00152C37"/>
    <w:rsid w:val="00160170"/>
    <w:rsid w:val="0017097E"/>
    <w:rsid w:val="00182FB1"/>
    <w:rsid w:val="001B7173"/>
    <w:rsid w:val="00205AF8"/>
    <w:rsid w:val="00223779"/>
    <w:rsid w:val="002356C6"/>
    <w:rsid w:val="0023715C"/>
    <w:rsid w:val="00252106"/>
    <w:rsid w:val="00272021"/>
    <w:rsid w:val="002873B3"/>
    <w:rsid w:val="002E11DF"/>
    <w:rsid w:val="00310EF7"/>
    <w:rsid w:val="003418A2"/>
    <w:rsid w:val="00403487"/>
    <w:rsid w:val="00414806"/>
    <w:rsid w:val="00483E47"/>
    <w:rsid w:val="004B4567"/>
    <w:rsid w:val="004C40EE"/>
    <w:rsid w:val="004D155F"/>
    <w:rsid w:val="00514047"/>
    <w:rsid w:val="005568F6"/>
    <w:rsid w:val="005B0584"/>
    <w:rsid w:val="00651558"/>
    <w:rsid w:val="006662A2"/>
    <w:rsid w:val="006A3CED"/>
    <w:rsid w:val="006A4F66"/>
    <w:rsid w:val="006B2BE4"/>
    <w:rsid w:val="006C0521"/>
    <w:rsid w:val="00757673"/>
    <w:rsid w:val="007A51CE"/>
    <w:rsid w:val="007B55A1"/>
    <w:rsid w:val="007C09BF"/>
    <w:rsid w:val="007F18E3"/>
    <w:rsid w:val="008055FE"/>
    <w:rsid w:val="0081102A"/>
    <w:rsid w:val="00827DD1"/>
    <w:rsid w:val="008305D6"/>
    <w:rsid w:val="00833F29"/>
    <w:rsid w:val="00842434"/>
    <w:rsid w:val="0086076B"/>
    <w:rsid w:val="00871A4D"/>
    <w:rsid w:val="00897A86"/>
    <w:rsid w:val="008C6D61"/>
    <w:rsid w:val="008D6B7B"/>
    <w:rsid w:val="008E4ACB"/>
    <w:rsid w:val="00941E34"/>
    <w:rsid w:val="009A406F"/>
    <w:rsid w:val="009D0FC4"/>
    <w:rsid w:val="00A65C8B"/>
    <w:rsid w:val="00A952AB"/>
    <w:rsid w:val="00B332A8"/>
    <w:rsid w:val="00B37589"/>
    <w:rsid w:val="00B66C66"/>
    <w:rsid w:val="00B92725"/>
    <w:rsid w:val="00C0302C"/>
    <w:rsid w:val="00C26694"/>
    <w:rsid w:val="00C30C4E"/>
    <w:rsid w:val="00C45227"/>
    <w:rsid w:val="00C51E95"/>
    <w:rsid w:val="00C86A31"/>
    <w:rsid w:val="00CB7399"/>
    <w:rsid w:val="00CD041B"/>
    <w:rsid w:val="00CE3E4F"/>
    <w:rsid w:val="00CF1AAC"/>
    <w:rsid w:val="00D01F5B"/>
    <w:rsid w:val="00D06870"/>
    <w:rsid w:val="00D624A2"/>
    <w:rsid w:val="00D64711"/>
    <w:rsid w:val="00D64E72"/>
    <w:rsid w:val="00DD3713"/>
    <w:rsid w:val="00E01BB2"/>
    <w:rsid w:val="00E334AD"/>
    <w:rsid w:val="00EC689A"/>
    <w:rsid w:val="00EF15AC"/>
    <w:rsid w:val="00F135C1"/>
    <w:rsid w:val="00F3221F"/>
    <w:rsid w:val="00F465FB"/>
    <w:rsid w:val="00F571D7"/>
    <w:rsid w:val="00FA600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77556"/>
  <w15:chartTrackingRefBased/>
  <w15:docId w15:val="{EC40B58B-3E39-C942-B67B-938E8034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B1"/>
    <w:pPr>
      <w:jc w:val="both"/>
    </w:pPr>
    <w:rPr>
      <w:rFonts w:ascii="Calibri" w:eastAsia="Times New Roman"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Universitiesnumberedlist">
    <w:name w:val="Universities numbered list"/>
    <w:uiPriority w:val="99"/>
    <w:rsid w:val="0017097E"/>
    <w:pPr>
      <w:numPr>
        <w:numId w:val="1"/>
      </w:numPr>
    </w:pPr>
  </w:style>
  <w:style w:type="paragraph" w:styleId="Header">
    <w:name w:val="header"/>
    <w:basedOn w:val="Normal"/>
    <w:link w:val="HeaderChar"/>
    <w:uiPriority w:val="99"/>
    <w:unhideWhenUsed/>
    <w:rsid w:val="008D6B7B"/>
    <w:pPr>
      <w:tabs>
        <w:tab w:val="center" w:pos="4513"/>
        <w:tab w:val="right" w:pos="9026"/>
      </w:tabs>
    </w:pPr>
  </w:style>
  <w:style w:type="character" w:customStyle="1" w:styleId="HeaderChar">
    <w:name w:val="Header Char"/>
    <w:basedOn w:val="DefaultParagraphFont"/>
    <w:link w:val="Header"/>
    <w:uiPriority w:val="99"/>
    <w:rsid w:val="008D6B7B"/>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8D6B7B"/>
    <w:pPr>
      <w:tabs>
        <w:tab w:val="center" w:pos="4513"/>
        <w:tab w:val="right" w:pos="9026"/>
      </w:tabs>
    </w:pPr>
  </w:style>
  <w:style w:type="character" w:customStyle="1" w:styleId="FooterChar">
    <w:name w:val="Footer Char"/>
    <w:basedOn w:val="DefaultParagraphFont"/>
    <w:link w:val="Footer"/>
    <w:uiPriority w:val="99"/>
    <w:rsid w:val="008D6B7B"/>
    <w:rPr>
      <w:rFonts w:ascii="Times New Roman" w:eastAsia="Times New Roman" w:hAnsi="Times New Roman" w:cs="Times New Roman"/>
      <w:lang w:val="en-GB" w:eastAsia="en-GB"/>
    </w:rPr>
  </w:style>
  <w:style w:type="paragraph" w:styleId="ListParagraph">
    <w:name w:val="List Paragraph"/>
    <w:basedOn w:val="Normal"/>
    <w:uiPriority w:val="1"/>
    <w:qFormat/>
    <w:rsid w:val="008D6B7B"/>
    <w:pPr>
      <w:ind w:left="720"/>
      <w:contextualSpacing/>
    </w:pPr>
  </w:style>
  <w:style w:type="character" w:styleId="Hyperlink">
    <w:name w:val="Hyperlink"/>
    <w:basedOn w:val="DefaultParagraphFont"/>
    <w:uiPriority w:val="99"/>
    <w:unhideWhenUsed/>
    <w:rsid w:val="00414806"/>
    <w:rPr>
      <w:color w:val="0563C1" w:themeColor="hyperlink"/>
      <w:u w:val="single"/>
    </w:rPr>
  </w:style>
  <w:style w:type="character" w:customStyle="1" w:styleId="UnresolvedMention1">
    <w:name w:val="Unresolved Mention1"/>
    <w:basedOn w:val="DefaultParagraphFont"/>
    <w:uiPriority w:val="99"/>
    <w:semiHidden/>
    <w:unhideWhenUsed/>
    <w:rsid w:val="00414806"/>
    <w:rPr>
      <w:color w:val="605E5C"/>
      <w:shd w:val="clear" w:color="auto" w:fill="E1DFDD"/>
    </w:rPr>
  </w:style>
  <w:style w:type="paragraph" w:styleId="BalloonText">
    <w:name w:val="Balloon Text"/>
    <w:basedOn w:val="Normal"/>
    <w:link w:val="BalloonTextChar"/>
    <w:uiPriority w:val="99"/>
    <w:semiHidden/>
    <w:unhideWhenUsed/>
    <w:rsid w:val="00182F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2FB1"/>
    <w:rPr>
      <w:rFonts w:ascii="Times New Roman" w:eastAsia="Times New Roman" w:hAnsi="Times New Roman" w:cs="Times New Roman"/>
      <w:sz w:val="18"/>
      <w:szCs w:val="18"/>
      <w:lang w:val="en-GB" w:eastAsia="en-GB"/>
    </w:rPr>
  </w:style>
  <w:style w:type="character" w:styleId="FollowedHyperlink">
    <w:name w:val="FollowedHyperlink"/>
    <w:basedOn w:val="DefaultParagraphFont"/>
    <w:uiPriority w:val="99"/>
    <w:semiHidden/>
    <w:unhideWhenUsed/>
    <w:rsid w:val="00182FB1"/>
    <w:rPr>
      <w:color w:val="954F72" w:themeColor="followedHyperlink"/>
      <w:u w:val="single"/>
    </w:rPr>
  </w:style>
  <w:style w:type="paragraph" w:styleId="Title">
    <w:name w:val="Title"/>
    <w:basedOn w:val="Normal"/>
    <w:next w:val="Normal"/>
    <w:link w:val="TitleChar"/>
    <w:uiPriority w:val="10"/>
    <w:qFormat/>
    <w:rsid w:val="00182FB1"/>
    <w:pPr>
      <w:contextualSpacing/>
    </w:pPr>
    <w:rPr>
      <w:rFonts w:eastAsiaTheme="majorEastAsia"/>
      <w:b/>
      <w:bCs/>
      <w:spacing w:val="-10"/>
      <w:kern w:val="28"/>
      <w:sz w:val="32"/>
      <w:szCs w:val="32"/>
    </w:rPr>
  </w:style>
  <w:style w:type="character" w:customStyle="1" w:styleId="TitleChar">
    <w:name w:val="Title Char"/>
    <w:basedOn w:val="DefaultParagraphFont"/>
    <w:link w:val="Title"/>
    <w:uiPriority w:val="10"/>
    <w:rsid w:val="00182FB1"/>
    <w:rPr>
      <w:rFonts w:ascii="Calibri" w:eastAsiaTheme="majorEastAsia" w:hAnsi="Calibri" w:cs="Calibri"/>
      <w:b/>
      <w:bCs/>
      <w:spacing w:val="-10"/>
      <w:kern w:val="28"/>
      <w:sz w:val="32"/>
      <w:szCs w:val="32"/>
      <w:lang w:val="en-GB" w:eastAsia="en-GB"/>
    </w:rPr>
  </w:style>
  <w:style w:type="character" w:styleId="CommentReference">
    <w:name w:val="annotation reference"/>
    <w:basedOn w:val="DefaultParagraphFont"/>
    <w:uiPriority w:val="99"/>
    <w:semiHidden/>
    <w:unhideWhenUsed/>
    <w:rsid w:val="009A406F"/>
    <w:rPr>
      <w:sz w:val="16"/>
      <w:szCs w:val="16"/>
    </w:rPr>
  </w:style>
  <w:style w:type="paragraph" w:styleId="CommentText">
    <w:name w:val="annotation text"/>
    <w:basedOn w:val="Normal"/>
    <w:link w:val="CommentTextChar"/>
    <w:uiPriority w:val="99"/>
    <w:semiHidden/>
    <w:unhideWhenUsed/>
    <w:rsid w:val="009A406F"/>
    <w:rPr>
      <w:sz w:val="20"/>
      <w:szCs w:val="20"/>
    </w:rPr>
  </w:style>
  <w:style w:type="character" w:customStyle="1" w:styleId="CommentTextChar">
    <w:name w:val="Comment Text Char"/>
    <w:basedOn w:val="DefaultParagraphFont"/>
    <w:link w:val="CommentText"/>
    <w:uiPriority w:val="99"/>
    <w:semiHidden/>
    <w:rsid w:val="009A406F"/>
    <w:rPr>
      <w:rFonts w:ascii="Calibri" w:eastAsia="Times New Roman"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9A406F"/>
    <w:rPr>
      <w:b/>
      <w:bCs/>
    </w:rPr>
  </w:style>
  <w:style w:type="character" w:customStyle="1" w:styleId="CommentSubjectChar">
    <w:name w:val="Comment Subject Char"/>
    <w:basedOn w:val="CommentTextChar"/>
    <w:link w:val="CommentSubject"/>
    <w:uiPriority w:val="99"/>
    <w:semiHidden/>
    <w:rsid w:val="009A406F"/>
    <w:rPr>
      <w:rFonts w:ascii="Calibri" w:eastAsia="Times New Roman" w:hAnsi="Calibri" w:cs="Calibri"/>
      <w:b/>
      <w:bCs/>
      <w:sz w:val="20"/>
      <w:szCs w:val="20"/>
      <w:lang w:val="en-GB" w:eastAsia="en-GB"/>
    </w:rPr>
  </w:style>
  <w:style w:type="character" w:styleId="UnresolvedMention">
    <w:name w:val="Unresolved Mention"/>
    <w:basedOn w:val="DefaultParagraphFont"/>
    <w:uiPriority w:val="99"/>
    <w:semiHidden/>
    <w:unhideWhenUsed/>
    <w:rsid w:val="00514047"/>
    <w:rPr>
      <w:color w:val="605E5C"/>
      <w:shd w:val="clear" w:color="auto" w:fill="E1DFDD"/>
    </w:rPr>
  </w:style>
  <w:style w:type="paragraph" w:styleId="BodyText">
    <w:name w:val="Body Text"/>
    <w:basedOn w:val="Normal"/>
    <w:link w:val="BodyTextChar"/>
    <w:uiPriority w:val="1"/>
    <w:qFormat/>
    <w:rsid w:val="00EF15AC"/>
    <w:pPr>
      <w:widowControl w:val="0"/>
      <w:autoSpaceDE w:val="0"/>
      <w:autoSpaceDN w:val="0"/>
      <w:jc w:val="left"/>
    </w:pPr>
    <w:rPr>
      <w:rFonts w:ascii="Times New Roman" w:hAnsi="Times New Roman" w:cs="Times New Roman"/>
      <w:sz w:val="18"/>
      <w:szCs w:val="18"/>
      <w:lang w:val="en-US" w:eastAsia="en-US"/>
    </w:rPr>
  </w:style>
  <w:style w:type="character" w:customStyle="1" w:styleId="BodyTextChar">
    <w:name w:val="Body Text Char"/>
    <w:basedOn w:val="DefaultParagraphFont"/>
    <w:link w:val="BodyText"/>
    <w:uiPriority w:val="1"/>
    <w:rsid w:val="00EF15AC"/>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6749">
      <w:bodyDiv w:val="1"/>
      <w:marLeft w:val="0"/>
      <w:marRight w:val="0"/>
      <w:marTop w:val="0"/>
      <w:marBottom w:val="0"/>
      <w:divBdr>
        <w:top w:val="none" w:sz="0" w:space="0" w:color="auto"/>
        <w:left w:val="none" w:sz="0" w:space="0" w:color="auto"/>
        <w:bottom w:val="none" w:sz="0" w:space="0" w:color="auto"/>
        <w:right w:val="none" w:sz="0" w:space="0" w:color="auto"/>
      </w:divBdr>
    </w:div>
    <w:div w:id="385882273">
      <w:bodyDiv w:val="1"/>
      <w:marLeft w:val="0"/>
      <w:marRight w:val="0"/>
      <w:marTop w:val="0"/>
      <w:marBottom w:val="0"/>
      <w:divBdr>
        <w:top w:val="none" w:sz="0" w:space="0" w:color="auto"/>
        <w:left w:val="none" w:sz="0" w:space="0" w:color="auto"/>
        <w:bottom w:val="none" w:sz="0" w:space="0" w:color="auto"/>
        <w:right w:val="none" w:sz="0" w:space="0" w:color="auto"/>
      </w:divBdr>
    </w:div>
    <w:div w:id="936981263">
      <w:bodyDiv w:val="1"/>
      <w:marLeft w:val="0"/>
      <w:marRight w:val="0"/>
      <w:marTop w:val="0"/>
      <w:marBottom w:val="0"/>
      <w:divBdr>
        <w:top w:val="none" w:sz="0" w:space="0" w:color="auto"/>
        <w:left w:val="none" w:sz="0" w:space="0" w:color="auto"/>
        <w:bottom w:val="none" w:sz="0" w:space="0" w:color="auto"/>
        <w:right w:val="none" w:sz="0" w:space="0" w:color="auto"/>
      </w:divBdr>
    </w:div>
    <w:div w:id="1199123507">
      <w:bodyDiv w:val="1"/>
      <w:marLeft w:val="0"/>
      <w:marRight w:val="0"/>
      <w:marTop w:val="0"/>
      <w:marBottom w:val="0"/>
      <w:divBdr>
        <w:top w:val="none" w:sz="0" w:space="0" w:color="auto"/>
        <w:left w:val="none" w:sz="0" w:space="0" w:color="auto"/>
        <w:bottom w:val="none" w:sz="0" w:space="0" w:color="auto"/>
        <w:right w:val="none" w:sz="0" w:space="0" w:color="auto"/>
      </w:divBdr>
      <w:divsChild>
        <w:div w:id="834955884">
          <w:marLeft w:val="0"/>
          <w:marRight w:val="0"/>
          <w:marTop w:val="0"/>
          <w:marBottom w:val="0"/>
          <w:divBdr>
            <w:top w:val="none" w:sz="0" w:space="0" w:color="auto"/>
            <w:left w:val="none" w:sz="0" w:space="0" w:color="auto"/>
            <w:bottom w:val="none" w:sz="0" w:space="0" w:color="auto"/>
            <w:right w:val="none" w:sz="0" w:space="0" w:color="auto"/>
          </w:divBdr>
          <w:divsChild>
            <w:div w:id="968515692">
              <w:marLeft w:val="0"/>
              <w:marRight w:val="0"/>
              <w:marTop w:val="0"/>
              <w:marBottom w:val="0"/>
              <w:divBdr>
                <w:top w:val="none" w:sz="0" w:space="0" w:color="auto"/>
                <w:left w:val="none" w:sz="0" w:space="0" w:color="auto"/>
                <w:bottom w:val="none" w:sz="0" w:space="0" w:color="auto"/>
                <w:right w:val="none" w:sz="0" w:space="0" w:color="auto"/>
              </w:divBdr>
              <w:divsChild>
                <w:div w:id="16363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3157">
      <w:bodyDiv w:val="1"/>
      <w:marLeft w:val="0"/>
      <w:marRight w:val="0"/>
      <w:marTop w:val="0"/>
      <w:marBottom w:val="0"/>
      <w:divBdr>
        <w:top w:val="none" w:sz="0" w:space="0" w:color="auto"/>
        <w:left w:val="none" w:sz="0" w:space="0" w:color="auto"/>
        <w:bottom w:val="none" w:sz="0" w:space="0" w:color="auto"/>
        <w:right w:val="none" w:sz="0" w:space="0" w:color="auto"/>
      </w:divBdr>
    </w:div>
    <w:div w:id="1811942503">
      <w:bodyDiv w:val="1"/>
      <w:marLeft w:val="0"/>
      <w:marRight w:val="0"/>
      <w:marTop w:val="0"/>
      <w:marBottom w:val="0"/>
      <w:divBdr>
        <w:top w:val="none" w:sz="0" w:space="0" w:color="auto"/>
        <w:left w:val="none" w:sz="0" w:space="0" w:color="auto"/>
        <w:bottom w:val="none" w:sz="0" w:space="0" w:color="auto"/>
        <w:right w:val="none" w:sz="0" w:space="0" w:color="auto"/>
      </w:divBdr>
    </w:div>
    <w:div w:id="1917939690">
      <w:bodyDiv w:val="1"/>
      <w:marLeft w:val="0"/>
      <w:marRight w:val="0"/>
      <w:marTop w:val="0"/>
      <w:marBottom w:val="0"/>
      <w:divBdr>
        <w:top w:val="none" w:sz="0" w:space="0" w:color="auto"/>
        <w:left w:val="none" w:sz="0" w:space="0" w:color="auto"/>
        <w:bottom w:val="none" w:sz="0" w:space="0" w:color="auto"/>
        <w:right w:val="none" w:sz="0" w:space="0" w:color="auto"/>
      </w:divBdr>
      <w:divsChild>
        <w:div w:id="777722811">
          <w:marLeft w:val="0"/>
          <w:marRight w:val="0"/>
          <w:marTop w:val="0"/>
          <w:marBottom w:val="0"/>
          <w:divBdr>
            <w:top w:val="none" w:sz="0" w:space="0" w:color="auto"/>
            <w:left w:val="none" w:sz="0" w:space="0" w:color="auto"/>
            <w:bottom w:val="none" w:sz="0" w:space="0" w:color="auto"/>
            <w:right w:val="none" w:sz="0" w:space="0" w:color="auto"/>
          </w:divBdr>
          <w:divsChild>
            <w:div w:id="944389846">
              <w:marLeft w:val="0"/>
              <w:marRight w:val="0"/>
              <w:marTop w:val="0"/>
              <w:marBottom w:val="0"/>
              <w:divBdr>
                <w:top w:val="none" w:sz="0" w:space="0" w:color="auto"/>
                <w:left w:val="none" w:sz="0" w:space="0" w:color="auto"/>
                <w:bottom w:val="none" w:sz="0" w:space="0" w:color="auto"/>
                <w:right w:val="none" w:sz="0" w:space="0" w:color="auto"/>
              </w:divBdr>
              <w:divsChild>
                <w:div w:id="20577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0011">
      <w:bodyDiv w:val="1"/>
      <w:marLeft w:val="0"/>
      <w:marRight w:val="0"/>
      <w:marTop w:val="0"/>
      <w:marBottom w:val="0"/>
      <w:divBdr>
        <w:top w:val="none" w:sz="0" w:space="0" w:color="auto"/>
        <w:left w:val="none" w:sz="0" w:space="0" w:color="auto"/>
        <w:bottom w:val="none" w:sz="0" w:space="0" w:color="auto"/>
        <w:right w:val="none" w:sz="0" w:space="0" w:color="auto"/>
      </w:divBdr>
      <w:divsChild>
        <w:div w:id="570695518">
          <w:marLeft w:val="0"/>
          <w:marRight w:val="0"/>
          <w:marTop w:val="0"/>
          <w:marBottom w:val="0"/>
          <w:divBdr>
            <w:top w:val="none" w:sz="0" w:space="0" w:color="auto"/>
            <w:left w:val="none" w:sz="0" w:space="0" w:color="auto"/>
            <w:bottom w:val="none" w:sz="0" w:space="0" w:color="auto"/>
            <w:right w:val="none" w:sz="0" w:space="0" w:color="auto"/>
          </w:divBdr>
          <w:divsChild>
            <w:div w:id="1342122304">
              <w:marLeft w:val="0"/>
              <w:marRight w:val="0"/>
              <w:marTop w:val="0"/>
              <w:marBottom w:val="0"/>
              <w:divBdr>
                <w:top w:val="none" w:sz="0" w:space="0" w:color="auto"/>
                <w:left w:val="none" w:sz="0" w:space="0" w:color="auto"/>
                <w:bottom w:val="none" w:sz="0" w:space="0" w:color="auto"/>
                <w:right w:val="none" w:sz="0" w:space="0" w:color="auto"/>
              </w:divBdr>
              <w:divsChild>
                <w:div w:id="12946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5363">
      <w:bodyDiv w:val="1"/>
      <w:marLeft w:val="0"/>
      <w:marRight w:val="0"/>
      <w:marTop w:val="0"/>
      <w:marBottom w:val="0"/>
      <w:divBdr>
        <w:top w:val="none" w:sz="0" w:space="0" w:color="auto"/>
        <w:left w:val="none" w:sz="0" w:space="0" w:color="auto"/>
        <w:bottom w:val="none" w:sz="0" w:space="0" w:color="auto"/>
        <w:right w:val="none" w:sz="0" w:space="0" w:color="auto"/>
      </w:divBdr>
      <w:divsChild>
        <w:div w:id="1901819382">
          <w:marLeft w:val="0"/>
          <w:marRight w:val="0"/>
          <w:marTop w:val="0"/>
          <w:marBottom w:val="0"/>
          <w:divBdr>
            <w:top w:val="none" w:sz="0" w:space="0" w:color="auto"/>
            <w:left w:val="none" w:sz="0" w:space="0" w:color="auto"/>
            <w:bottom w:val="none" w:sz="0" w:space="0" w:color="auto"/>
            <w:right w:val="none" w:sz="0" w:space="0" w:color="auto"/>
          </w:divBdr>
          <w:divsChild>
            <w:div w:id="234122184">
              <w:marLeft w:val="0"/>
              <w:marRight w:val="0"/>
              <w:marTop w:val="0"/>
              <w:marBottom w:val="0"/>
              <w:divBdr>
                <w:top w:val="none" w:sz="0" w:space="0" w:color="auto"/>
                <w:left w:val="none" w:sz="0" w:space="0" w:color="auto"/>
                <w:bottom w:val="none" w:sz="0" w:space="0" w:color="auto"/>
                <w:right w:val="none" w:sz="0" w:space="0" w:color="auto"/>
              </w:divBdr>
              <w:divsChild>
                <w:div w:id="812058895">
                  <w:marLeft w:val="0"/>
                  <w:marRight w:val="0"/>
                  <w:marTop w:val="0"/>
                  <w:marBottom w:val="0"/>
                  <w:divBdr>
                    <w:top w:val="none" w:sz="0" w:space="0" w:color="auto"/>
                    <w:left w:val="none" w:sz="0" w:space="0" w:color="auto"/>
                    <w:bottom w:val="none" w:sz="0" w:space="0" w:color="auto"/>
                    <w:right w:val="none" w:sz="0" w:space="0" w:color="auto"/>
                  </w:divBdr>
                  <w:divsChild>
                    <w:div w:id="16981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h.se/en/studies/phd/student/examination-and-degree-1.527043" TargetMode="External"/><Relationship Id="rId13" Type="http://schemas.openxmlformats.org/officeDocument/2006/relationships/hyperlink" Target="https://www.kth.se/en/studies/phd/" TargetMode="External"/><Relationship Id="rId18" Type="http://schemas.openxmlformats.org/officeDocument/2006/relationships/hyperlink" Target="mailto:rekrytering@eecs.kth.s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kth.se/e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th.se/en/eecs/skolan-for-elektroteknik-och-datavetenskap-1.760855"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th.se/"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kth.se/en/om/work-at-kth/relocation"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apropos-itn.eu"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9BD24-5952-4246-BD5E-F5943B48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 Nurmi (TAU)</dc:creator>
  <cp:keywords/>
  <dc:description/>
  <cp:lastModifiedBy>Ahmed Hemani</cp:lastModifiedBy>
  <cp:revision>2</cp:revision>
  <dcterms:created xsi:type="dcterms:W3CDTF">2020-12-14T13:40:00Z</dcterms:created>
  <dcterms:modified xsi:type="dcterms:W3CDTF">2020-12-14T13:40:00Z</dcterms:modified>
</cp:coreProperties>
</file>