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AA" w:rsidRPr="00E36C61" w:rsidRDefault="00741A2B" w:rsidP="00942E0C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36C61">
        <w:rPr>
          <w:b/>
          <w:bCs/>
          <w:sz w:val="32"/>
          <w:szCs w:val="32"/>
          <w:u w:val="single"/>
        </w:rPr>
        <w:t>Direct Hire Employees Benefits</w:t>
      </w:r>
    </w:p>
    <w:p w:rsidR="00741A2B" w:rsidRPr="00942E0C" w:rsidRDefault="00741A2B" w:rsidP="00942E0C">
      <w:pPr>
        <w:jc w:val="both"/>
      </w:pPr>
    </w:p>
    <w:p w:rsidR="00741A2B" w:rsidRPr="00632D74" w:rsidRDefault="00741A2B" w:rsidP="00942E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632D74">
        <w:rPr>
          <w:rFonts w:cs="Arial"/>
          <w:b/>
          <w:bCs/>
          <w:color w:val="76923C" w:themeColor="accent3" w:themeShade="BF"/>
          <w:sz w:val="24"/>
          <w:szCs w:val="24"/>
        </w:rPr>
        <w:t>International Relocation</w:t>
      </w:r>
      <w:r w:rsidR="00942E0C" w:rsidRPr="00632D74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741A2B" w:rsidRPr="00942E0C" w:rsidRDefault="00741A2B" w:rsidP="00942E0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Newly appointed employees who have been hired from abr</w:t>
      </w:r>
      <w:r w:rsidR="00942E0C" w:rsidRPr="00942E0C">
        <w:rPr>
          <w:rFonts w:cs="Arial"/>
          <w:sz w:val="20"/>
          <w:szCs w:val="20"/>
        </w:rPr>
        <w:t xml:space="preserve">oad are eligible to receive (on </w:t>
      </w:r>
      <w:r w:rsidRPr="00942E0C">
        <w:rPr>
          <w:rFonts w:cs="Arial"/>
          <w:sz w:val="20"/>
          <w:szCs w:val="20"/>
        </w:rPr>
        <w:t>initial posting):</w:t>
      </w:r>
    </w:p>
    <w:p w:rsidR="00741A2B" w:rsidRPr="00942E0C" w:rsidRDefault="00741A2B" w:rsidP="00632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One-way tickets are provided for the employee,</w:t>
      </w:r>
      <w:r w:rsidR="00942E0C" w:rsidRPr="00942E0C">
        <w:rPr>
          <w:rFonts w:cs="Arial"/>
          <w:sz w:val="20"/>
          <w:szCs w:val="20"/>
        </w:rPr>
        <w:t xml:space="preserve"> (spouse and eligible dependent </w:t>
      </w:r>
      <w:r w:rsidRPr="00942E0C">
        <w:rPr>
          <w:rFonts w:cs="Arial"/>
          <w:sz w:val="20"/>
          <w:szCs w:val="20"/>
        </w:rPr>
        <w:t>children under the age of 18 years) from point of hire.</w:t>
      </w:r>
    </w:p>
    <w:p w:rsidR="00741A2B" w:rsidRPr="00942E0C" w:rsidRDefault="00741A2B" w:rsidP="00632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 xml:space="preserve">2. Employees and their eligible </w:t>
      </w:r>
      <w:r w:rsidR="00942E0C" w:rsidRPr="00942E0C">
        <w:rPr>
          <w:rFonts w:cs="Arial"/>
          <w:sz w:val="20"/>
          <w:szCs w:val="20"/>
        </w:rPr>
        <w:t xml:space="preserve">dependents (spouse and eligible </w:t>
      </w:r>
      <w:r w:rsidRPr="00942E0C">
        <w:rPr>
          <w:rFonts w:cs="Arial"/>
          <w:sz w:val="20"/>
          <w:szCs w:val="20"/>
        </w:rPr>
        <w:t xml:space="preserve">dependent children under the age of 18 years) </w:t>
      </w:r>
      <w:r w:rsidR="00942E0C" w:rsidRPr="00942E0C">
        <w:rPr>
          <w:rFonts w:cs="Arial"/>
          <w:sz w:val="20"/>
          <w:szCs w:val="20"/>
        </w:rPr>
        <w:t>that</w:t>
      </w:r>
      <w:r w:rsidRPr="00942E0C">
        <w:rPr>
          <w:rFonts w:cs="Arial"/>
          <w:sz w:val="20"/>
          <w:szCs w:val="20"/>
        </w:rPr>
        <w:t xml:space="preserve"> are internationally relocated will be</w:t>
      </w:r>
      <w:r w:rsidR="00942E0C" w:rsidRPr="00942E0C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 xml:space="preserve">provided by ENEC with </w:t>
      </w:r>
      <w:r w:rsidR="00942E0C" w:rsidRPr="00942E0C">
        <w:rPr>
          <w:rFonts w:cs="Arial"/>
          <w:sz w:val="20"/>
          <w:szCs w:val="20"/>
        </w:rPr>
        <w:t xml:space="preserve">Meet and Greet / Assist Service that is provided by the airport </w:t>
      </w:r>
      <w:r w:rsidRPr="00942E0C">
        <w:rPr>
          <w:rFonts w:cs="Arial"/>
          <w:sz w:val="20"/>
          <w:szCs w:val="20"/>
        </w:rPr>
        <w:t>upon arriving.</w:t>
      </w:r>
    </w:p>
    <w:p w:rsidR="00741A2B" w:rsidRPr="00942E0C" w:rsidRDefault="00741A2B" w:rsidP="00632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3. Employees and eligible dependents (spouse and eligible dependent children under the</w:t>
      </w:r>
      <w:r w:rsidR="00942E0C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age of 18 years) will be provided hotel or apartment accommodation starting no earlier</w:t>
      </w:r>
      <w:r w:rsidR="00942E0C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than 7 calendar days prior to the joining date and for a period of up to 30 calendar days</w:t>
      </w:r>
      <w:r w:rsidR="00942E0C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 xml:space="preserve">until the employee finds suitable accommodation (whichever </w:t>
      </w:r>
      <w:r w:rsidR="00942E0C">
        <w:rPr>
          <w:rFonts w:cs="Arial"/>
          <w:sz w:val="20"/>
          <w:szCs w:val="20"/>
        </w:rPr>
        <w:t>is less).</w:t>
      </w:r>
    </w:p>
    <w:p w:rsidR="00942E0C" w:rsidRDefault="00632D74" w:rsidP="00632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741A2B" w:rsidRPr="00942E0C">
        <w:rPr>
          <w:rFonts w:cs="Arial"/>
          <w:sz w:val="20"/>
          <w:szCs w:val="20"/>
        </w:rPr>
        <w:t>. Employees will be eligible for a per diem allowance</w:t>
      </w:r>
      <w:r w:rsidR="00942E0C">
        <w:rPr>
          <w:rFonts w:cs="Arial"/>
          <w:sz w:val="20"/>
          <w:szCs w:val="20"/>
        </w:rPr>
        <w:t xml:space="preserve"> during their stay in temporary </w:t>
      </w:r>
      <w:r w:rsidR="00741A2B" w:rsidRPr="00942E0C">
        <w:rPr>
          <w:rFonts w:cs="Arial"/>
          <w:sz w:val="20"/>
          <w:szCs w:val="20"/>
        </w:rPr>
        <w:t xml:space="preserve">housing. </w:t>
      </w:r>
    </w:p>
    <w:p w:rsidR="00741A2B" w:rsidRDefault="00632D74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</w:t>
      </w:r>
      <w:r w:rsidR="00741A2B" w:rsidRPr="00942E0C">
        <w:rPr>
          <w:rFonts w:cs="Arial"/>
          <w:sz w:val="20"/>
          <w:szCs w:val="20"/>
        </w:rPr>
        <w:t xml:space="preserve">. Upon relocation, employees will be eligible for a </w:t>
      </w:r>
      <w:r>
        <w:rPr>
          <w:rFonts w:cs="Arial"/>
          <w:sz w:val="20"/>
          <w:szCs w:val="20"/>
        </w:rPr>
        <w:t xml:space="preserve">lump sum payment of one month’s </w:t>
      </w:r>
      <w:r w:rsidR="00741A2B" w:rsidRPr="00942E0C">
        <w:rPr>
          <w:rFonts w:cs="Arial"/>
          <w:sz w:val="20"/>
          <w:szCs w:val="20"/>
        </w:rPr>
        <w:t>basic salary, which is intended to cover relocation-related expenses.</w:t>
      </w:r>
    </w:p>
    <w:p w:rsidR="00632D74" w:rsidRPr="00942E0C" w:rsidRDefault="00632D74" w:rsidP="00632D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741A2B" w:rsidRPr="00632D74" w:rsidRDefault="00741A2B" w:rsidP="00632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632D74">
        <w:rPr>
          <w:rFonts w:cs="Arial"/>
          <w:b/>
          <w:bCs/>
          <w:color w:val="76923C" w:themeColor="accent3" w:themeShade="BF"/>
          <w:sz w:val="24"/>
          <w:szCs w:val="24"/>
        </w:rPr>
        <w:t>Residence Visa Costs</w:t>
      </w:r>
      <w:r w:rsidR="00632D74" w:rsidRPr="00632D74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741A2B" w:rsidRPr="00C934AE" w:rsidRDefault="00741A2B" w:rsidP="00C934A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C934AE">
        <w:rPr>
          <w:rFonts w:cs="Arial"/>
          <w:sz w:val="20"/>
          <w:szCs w:val="20"/>
        </w:rPr>
        <w:t>ENEC employees will be sponsored by ENEC.</w:t>
      </w:r>
    </w:p>
    <w:p w:rsidR="00741A2B" w:rsidRPr="00C934AE" w:rsidRDefault="00741A2B" w:rsidP="00C934A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C934AE">
        <w:rPr>
          <w:rFonts w:cs="Arial"/>
          <w:sz w:val="20"/>
          <w:szCs w:val="20"/>
        </w:rPr>
        <w:t>Employees sponsored by ENEC, and their eligible dependents (spouse and dependent children</w:t>
      </w:r>
      <w:r w:rsidR="00632D74" w:rsidRPr="00C934AE">
        <w:rPr>
          <w:rFonts w:cs="Arial"/>
          <w:sz w:val="20"/>
          <w:szCs w:val="20"/>
        </w:rPr>
        <w:t xml:space="preserve"> </w:t>
      </w:r>
      <w:r w:rsidRPr="00C934AE">
        <w:rPr>
          <w:rFonts w:cs="Arial"/>
          <w:sz w:val="20"/>
          <w:szCs w:val="20"/>
        </w:rPr>
        <w:t>under the age of 18), are eligible to receive reimbursement/payment for the costs of acquisition and</w:t>
      </w:r>
      <w:r w:rsidR="00632D74" w:rsidRPr="00C934AE">
        <w:rPr>
          <w:rFonts w:cs="Arial"/>
          <w:sz w:val="20"/>
          <w:szCs w:val="20"/>
        </w:rPr>
        <w:t xml:space="preserve"> </w:t>
      </w:r>
      <w:r w:rsidRPr="00C934AE">
        <w:rPr>
          <w:rFonts w:cs="Arial"/>
          <w:sz w:val="20"/>
          <w:szCs w:val="20"/>
        </w:rPr>
        <w:t>renewal of their UAE residence visas (including the cost of the medical certificate as well as required</w:t>
      </w:r>
      <w:r w:rsidR="00632D74" w:rsidRPr="00C934AE">
        <w:rPr>
          <w:rFonts w:cs="Arial"/>
          <w:sz w:val="20"/>
          <w:szCs w:val="20"/>
        </w:rPr>
        <w:t xml:space="preserve"> </w:t>
      </w:r>
      <w:r w:rsidRPr="00C934AE">
        <w:rPr>
          <w:rFonts w:cs="Arial"/>
          <w:sz w:val="20"/>
          <w:szCs w:val="20"/>
        </w:rPr>
        <w:t>translations and authentication expenses), noting that ENEC will not bear any cost related to the</w:t>
      </w:r>
      <w:r w:rsidR="00632D74" w:rsidRPr="00C934AE">
        <w:rPr>
          <w:rFonts w:cs="Arial"/>
          <w:sz w:val="20"/>
          <w:szCs w:val="20"/>
        </w:rPr>
        <w:t xml:space="preserve"> </w:t>
      </w:r>
      <w:r w:rsidRPr="00C934AE">
        <w:rPr>
          <w:rFonts w:cs="Arial"/>
          <w:sz w:val="20"/>
          <w:szCs w:val="20"/>
        </w:rPr>
        <w:t>issuance or renewal of the employees’ and their dependents’ Emirates ID.</w:t>
      </w:r>
    </w:p>
    <w:p w:rsidR="00632D74" w:rsidRPr="00942E0C" w:rsidRDefault="00632D74" w:rsidP="00632D7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76183E" w:rsidRPr="00632D74" w:rsidRDefault="0076183E" w:rsidP="00632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632D74">
        <w:rPr>
          <w:rFonts w:cs="Arial"/>
          <w:b/>
          <w:bCs/>
          <w:color w:val="76923C" w:themeColor="accent3" w:themeShade="BF"/>
          <w:sz w:val="24"/>
          <w:szCs w:val="24"/>
        </w:rPr>
        <w:t>Vacation Airfare Allowance</w:t>
      </w:r>
      <w:r w:rsidR="00632D74" w:rsidRPr="00632D74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76183E" w:rsidRDefault="00632D74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</w:t>
      </w:r>
      <w:r w:rsidR="0076183E" w:rsidRPr="00942E0C">
        <w:rPr>
          <w:rFonts w:cs="Arial"/>
          <w:sz w:val="20"/>
          <w:szCs w:val="20"/>
        </w:rPr>
        <w:t>mployees in all grades, and where applicabl</w:t>
      </w:r>
      <w:r>
        <w:rPr>
          <w:rFonts w:cs="Arial"/>
          <w:sz w:val="20"/>
          <w:szCs w:val="20"/>
        </w:rPr>
        <w:t xml:space="preserve">e their eligible family members </w:t>
      </w:r>
      <w:r w:rsidR="0076183E" w:rsidRPr="00942E0C">
        <w:rPr>
          <w:rFonts w:cs="Arial"/>
          <w:sz w:val="20"/>
          <w:szCs w:val="20"/>
        </w:rPr>
        <w:t>(spouse and a maximum of four dependent children under the age of 18), are eligible for cash</w:t>
      </w:r>
      <w:r>
        <w:rPr>
          <w:rFonts w:cs="Arial"/>
          <w:sz w:val="20"/>
          <w:szCs w:val="20"/>
        </w:rPr>
        <w:t xml:space="preserve"> </w:t>
      </w:r>
      <w:r w:rsidR="0076183E" w:rsidRPr="00942E0C">
        <w:rPr>
          <w:rFonts w:cs="Arial"/>
          <w:sz w:val="20"/>
          <w:szCs w:val="20"/>
        </w:rPr>
        <w:t>compensation towards a round trip ticket between Abu Dhabi and their point of origin</w:t>
      </w:r>
      <w:r>
        <w:rPr>
          <w:rFonts w:cs="Arial"/>
          <w:sz w:val="20"/>
          <w:szCs w:val="20"/>
        </w:rPr>
        <w:t xml:space="preserve"> </w:t>
      </w:r>
      <w:r w:rsidR="0076183E" w:rsidRPr="00942E0C">
        <w:rPr>
          <w:rFonts w:cs="Arial"/>
          <w:sz w:val="20"/>
          <w:szCs w:val="20"/>
        </w:rPr>
        <w:t>irrespective of whether they live in UAE or not. The point of origin is determined as the</w:t>
      </w:r>
      <w:r>
        <w:rPr>
          <w:rFonts w:cs="Arial"/>
          <w:sz w:val="20"/>
          <w:szCs w:val="20"/>
        </w:rPr>
        <w:t xml:space="preserve"> </w:t>
      </w:r>
      <w:r w:rsidR="0076183E" w:rsidRPr="00942E0C">
        <w:rPr>
          <w:rFonts w:cs="Arial"/>
          <w:sz w:val="20"/>
          <w:szCs w:val="20"/>
        </w:rPr>
        <w:t>nationality of the passport held by the employee at the time of signing the Employment Contract.</w:t>
      </w:r>
    </w:p>
    <w:p w:rsidR="00632D74" w:rsidRPr="00942E0C" w:rsidRDefault="00632D74" w:rsidP="00632D7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76183E" w:rsidRPr="00632D74" w:rsidRDefault="0076183E" w:rsidP="00632D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632D74">
        <w:rPr>
          <w:rFonts w:cs="Arial"/>
          <w:b/>
          <w:bCs/>
          <w:color w:val="76923C" w:themeColor="accent3" w:themeShade="BF"/>
          <w:sz w:val="24"/>
          <w:szCs w:val="24"/>
        </w:rPr>
        <w:t>Children’s Educational Assistance</w:t>
      </w:r>
      <w:r w:rsidR="00632D74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76183E" w:rsidRPr="00942E0C" w:rsidRDefault="0076183E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 xml:space="preserve">1. Any expenses by the school that are mentioned in the </w:t>
      </w:r>
      <w:r w:rsidR="00632D74">
        <w:rPr>
          <w:rFonts w:cs="Arial"/>
          <w:sz w:val="20"/>
          <w:szCs w:val="20"/>
        </w:rPr>
        <w:t xml:space="preserve">school original receipt will be </w:t>
      </w:r>
      <w:r w:rsidRPr="00942E0C">
        <w:rPr>
          <w:rFonts w:cs="Arial"/>
          <w:sz w:val="20"/>
          <w:szCs w:val="20"/>
        </w:rPr>
        <w:t>reimbursed (stipulated that the receipts must not exceed the annual limit per child per</w:t>
      </w:r>
      <w:r w:rsidR="00632D74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year).</w:t>
      </w:r>
    </w:p>
    <w:p w:rsidR="00456B85" w:rsidRPr="00782389" w:rsidRDefault="00782389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76183E" w:rsidRPr="00942E0C">
        <w:rPr>
          <w:rFonts w:cs="Arial"/>
          <w:sz w:val="20"/>
          <w:szCs w:val="20"/>
        </w:rPr>
        <w:t>. Any transportation expenses provided from the school or from a third party will be</w:t>
      </w:r>
      <w:r>
        <w:rPr>
          <w:rFonts w:cs="Arial"/>
          <w:sz w:val="20"/>
          <w:szCs w:val="20"/>
        </w:rPr>
        <w:t xml:space="preserve"> </w:t>
      </w:r>
      <w:r w:rsidR="0076183E" w:rsidRPr="00942E0C">
        <w:rPr>
          <w:rFonts w:cs="Arial"/>
          <w:sz w:val="20"/>
          <w:szCs w:val="20"/>
        </w:rPr>
        <w:t>reimbursed upon submission of original receipts</w:t>
      </w:r>
      <w:r>
        <w:rPr>
          <w:rFonts w:cs="Arial"/>
          <w:sz w:val="20"/>
          <w:szCs w:val="20"/>
        </w:rPr>
        <w:t>.</w:t>
      </w:r>
    </w:p>
    <w:p w:rsidR="00456B85" w:rsidRDefault="00782389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456B85" w:rsidRPr="00942E0C">
        <w:rPr>
          <w:rFonts w:cs="Arial"/>
          <w:sz w:val="20"/>
          <w:szCs w:val="20"/>
        </w:rPr>
        <w:t>. Non UAE National employees are eligible for educational assistance for a maximum of</w:t>
      </w:r>
      <w:r>
        <w:rPr>
          <w:rFonts w:cs="Arial"/>
          <w:sz w:val="20"/>
          <w:szCs w:val="20"/>
        </w:rPr>
        <w:t xml:space="preserve"> </w:t>
      </w:r>
      <w:r w:rsidR="00456B85" w:rsidRPr="00942E0C">
        <w:rPr>
          <w:rFonts w:cs="Arial"/>
          <w:sz w:val="20"/>
          <w:szCs w:val="20"/>
        </w:rPr>
        <w:t>four dependent children between the ages of 3 and 18 or until completion of high</w:t>
      </w:r>
      <w:r>
        <w:rPr>
          <w:rFonts w:cs="Arial"/>
          <w:sz w:val="20"/>
          <w:szCs w:val="20"/>
        </w:rPr>
        <w:t xml:space="preserve"> </w:t>
      </w:r>
      <w:r w:rsidR="00456B85" w:rsidRPr="00942E0C">
        <w:rPr>
          <w:rFonts w:cs="Arial"/>
          <w:sz w:val="20"/>
          <w:szCs w:val="20"/>
        </w:rPr>
        <w:t>school, whichever comes first for education in the UAE.</w:t>
      </w:r>
    </w:p>
    <w:p w:rsidR="00C934AE" w:rsidRDefault="00C934AE" w:rsidP="00C934A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C934AE" w:rsidRDefault="00C934AE" w:rsidP="00C934A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C934AE" w:rsidRDefault="00C934AE" w:rsidP="00C934A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C934AE" w:rsidRPr="00942E0C" w:rsidRDefault="00C934AE" w:rsidP="00C934AE">
      <w:pPr>
        <w:autoSpaceDE w:val="0"/>
        <w:autoSpaceDN w:val="0"/>
        <w:adjustRightInd w:val="0"/>
        <w:spacing w:after="0" w:line="240" w:lineRule="auto"/>
        <w:ind w:left="720"/>
        <w:jc w:val="both"/>
      </w:pPr>
    </w:p>
    <w:p w:rsidR="009C5A5F" w:rsidRPr="00782389" w:rsidRDefault="009C5A5F" w:rsidP="0078238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782389">
        <w:rPr>
          <w:rFonts w:cs="Arial"/>
          <w:b/>
          <w:bCs/>
          <w:color w:val="76923C" w:themeColor="accent3" w:themeShade="BF"/>
          <w:sz w:val="24"/>
          <w:szCs w:val="24"/>
        </w:rPr>
        <w:lastRenderedPageBreak/>
        <w:t>Group Life and Personal Accident Insurance</w:t>
      </w:r>
      <w:r w:rsidR="00782389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9C5A5F" w:rsidRPr="00942E0C" w:rsidRDefault="009C5A5F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ENEC provides group life and personal accident insurance to it</w:t>
      </w:r>
      <w:r w:rsidR="00782389">
        <w:rPr>
          <w:rFonts w:cs="Arial"/>
          <w:sz w:val="20"/>
          <w:szCs w:val="20"/>
        </w:rPr>
        <w:t>s employees</w:t>
      </w:r>
      <w:r w:rsidRPr="00942E0C">
        <w:rPr>
          <w:rFonts w:cs="Arial"/>
          <w:sz w:val="20"/>
          <w:szCs w:val="20"/>
        </w:rPr>
        <w:t>. The life insurance will be provided to the employee till the last working</w:t>
      </w:r>
      <w:r w:rsidR="00782389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date in ENEC.</w:t>
      </w:r>
    </w:p>
    <w:p w:rsidR="009C5A5F" w:rsidRPr="00942E0C" w:rsidRDefault="009C5A5F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2. ENEC’s current group life and personal accident insurance scheme is provided by Abu Dhabi</w:t>
      </w:r>
    </w:p>
    <w:p w:rsidR="009C5A5F" w:rsidRPr="00942E0C" w:rsidRDefault="009C5A5F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National Insurance Company (ADNIC).</w:t>
      </w:r>
    </w:p>
    <w:p w:rsidR="009C5A5F" w:rsidRPr="00942E0C" w:rsidRDefault="009C5A5F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3. The sum insured is five times annual basic salary per person, notin</w:t>
      </w:r>
      <w:r w:rsidR="00782389">
        <w:rPr>
          <w:rFonts w:cs="Arial"/>
          <w:sz w:val="20"/>
          <w:szCs w:val="20"/>
        </w:rPr>
        <w:t xml:space="preserve">g that the basic salary that is </w:t>
      </w:r>
      <w:r w:rsidRPr="00942E0C">
        <w:rPr>
          <w:rFonts w:cs="Arial"/>
          <w:sz w:val="20"/>
          <w:szCs w:val="20"/>
        </w:rPr>
        <w:t>considered for the purposes of payment is the basic salary as of the time of registration in, or</w:t>
      </w:r>
      <w:r w:rsidR="00782389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renewal of (whichever is later) the insurance policy.</w:t>
      </w:r>
    </w:p>
    <w:p w:rsidR="009C5A5F" w:rsidRPr="00942E0C" w:rsidRDefault="00782389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The free cover limit is </w:t>
      </w:r>
      <w:r w:rsidR="009C5A5F" w:rsidRPr="00942E0C">
        <w:rPr>
          <w:rFonts w:cs="Arial"/>
          <w:sz w:val="20"/>
          <w:szCs w:val="20"/>
        </w:rPr>
        <w:t>to age 70 maximum</w:t>
      </w:r>
      <w:r>
        <w:rPr>
          <w:rFonts w:cs="Arial"/>
          <w:sz w:val="20"/>
          <w:szCs w:val="20"/>
        </w:rPr>
        <w:t>.</w:t>
      </w:r>
    </w:p>
    <w:p w:rsidR="009C5A5F" w:rsidRPr="00942E0C" w:rsidRDefault="009C5A5F" w:rsidP="00782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5. The age limit is 70 years in respect of death benefit, and 65</w:t>
      </w:r>
      <w:r w:rsidR="00782389">
        <w:rPr>
          <w:rFonts w:cs="Arial"/>
          <w:sz w:val="20"/>
          <w:szCs w:val="20"/>
        </w:rPr>
        <w:t xml:space="preserve"> years in respect of disability </w:t>
      </w:r>
      <w:r w:rsidRPr="00942E0C">
        <w:rPr>
          <w:rFonts w:cs="Arial"/>
          <w:sz w:val="20"/>
          <w:szCs w:val="20"/>
        </w:rPr>
        <w:t>benefits.</w:t>
      </w:r>
    </w:p>
    <w:p w:rsidR="00782389" w:rsidRDefault="009C5A5F" w:rsidP="00782389">
      <w:pPr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6. The insurance cover is as follows, for each person covered under this manual:</w:t>
      </w:r>
    </w:p>
    <w:p w:rsidR="009C5A5F" w:rsidRPr="00942E0C" w:rsidRDefault="009C5A5F" w:rsidP="00C934AE">
      <w:pPr>
        <w:jc w:val="center"/>
        <w:rPr>
          <w:rFonts w:cs="Arial"/>
          <w:sz w:val="20"/>
          <w:szCs w:val="20"/>
        </w:rPr>
      </w:pPr>
      <w:r w:rsidRPr="00942E0C">
        <w:rPr>
          <w:rFonts w:cs="Arial"/>
          <w:noProof/>
          <w:sz w:val="20"/>
          <w:szCs w:val="20"/>
        </w:rPr>
        <w:drawing>
          <wp:inline distT="0" distB="0" distL="0" distR="0" wp14:anchorId="55DD53B7" wp14:editId="26E16408">
            <wp:extent cx="5943600" cy="2338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5F" w:rsidRPr="009A7A59" w:rsidRDefault="009C5A5F" w:rsidP="009A7A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9A7A59">
        <w:rPr>
          <w:rFonts w:cs="Arial"/>
          <w:b/>
          <w:bCs/>
          <w:color w:val="76923C" w:themeColor="accent3" w:themeShade="BF"/>
          <w:sz w:val="24"/>
          <w:szCs w:val="24"/>
        </w:rPr>
        <w:t>Health Insurance</w:t>
      </w:r>
      <w:r w:rsidR="009A7A59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9C5A5F" w:rsidRPr="00942E0C" w:rsidRDefault="009C5A5F" w:rsidP="00C93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ENEC provides comprehensive health insurance cover to a</w:t>
      </w:r>
      <w:r w:rsidR="00E61AD4">
        <w:rPr>
          <w:rFonts w:cs="Arial"/>
          <w:sz w:val="20"/>
          <w:szCs w:val="20"/>
        </w:rPr>
        <w:t xml:space="preserve">ll employees and their eligible </w:t>
      </w:r>
      <w:r w:rsidRPr="00942E0C">
        <w:rPr>
          <w:rFonts w:cs="Arial"/>
          <w:sz w:val="20"/>
          <w:szCs w:val="20"/>
        </w:rPr>
        <w:t>dependents (employee’s spouse and dependent children only) th</w:t>
      </w:r>
      <w:r w:rsidR="00E61AD4">
        <w:rPr>
          <w:rFonts w:cs="Arial"/>
          <w:sz w:val="20"/>
          <w:szCs w:val="20"/>
        </w:rPr>
        <w:t xml:space="preserve">at are resident in the UAE. The </w:t>
      </w:r>
      <w:r w:rsidRPr="00942E0C">
        <w:rPr>
          <w:rFonts w:cs="Arial"/>
          <w:sz w:val="20"/>
          <w:szCs w:val="20"/>
        </w:rPr>
        <w:t>health insurance will be provided to the employee and his/her eligib</w:t>
      </w:r>
      <w:r w:rsidR="00E61AD4">
        <w:rPr>
          <w:rFonts w:cs="Arial"/>
          <w:sz w:val="20"/>
          <w:szCs w:val="20"/>
        </w:rPr>
        <w:t xml:space="preserve">le dependents till the last </w:t>
      </w:r>
      <w:r w:rsidR="00C934AE">
        <w:rPr>
          <w:rFonts w:cs="Arial"/>
          <w:sz w:val="20"/>
          <w:szCs w:val="20"/>
        </w:rPr>
        <w:t>working</w:t>
      </w:r>
      <w:r w:rsidR="00E61AD4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da</w:t>
      </w:r>
      <w:r w:rsidR="00C934AE">
        <w:rPr>
          <w:rFonts w:cs="Arial"/>
          <w:sz w:val="20"/>
          <w:szCs w:val="20"/>
        </w:rPr>
        <w:t>y</w:t>
      </w:r>
      <w:r w:rsidRPr="00942E0C">
        <w:rPr>
          <w:rFonts w:cs="Arial"/>
          <w:sz w:val="20"/>
          <w:szCs w:val="20"/>
        </w:rPr>
        <w:t>.</w:t>
      </w:r>
    </w:p>
    <w:p w:rsidR="009C5A5F" w:rsidRPr="00942E0C" w:rsidRDefault="00E61AD4" w:rsidP="00E61A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9C5A5F" w:rsidRPr="00942E0C">
        <w:rPr>
          <w:rFonts w:cs="Arial"/>
          <w:sz w:val="20"/>
          <w:szCs w:val="20"/>
        </w:rPr>
        <w:t>. ENEC’s current medical insurance scheme is provided through the National Health Insurance</w:t>
      </w:r>
    </w:p>
    <w:p w:rsidR="00E61AD4" w:rsidRDefault="009C5A5F" w:rsidP="00E61A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Co. (Daman), and includes cover for in and outpatient treat</w:t>
      </w:r>
      <w:r w:rsidR="00E61AD4">
        <w:rPr>
          <w:rFonts w:cs="Arial"/>
          <w:sz w:val="20"/>
          <w:szCs w:val="20"/>
        </w:rPr>
        <w:t xml:space="preserve">ment, plus dental and maternity </w:t>
      </w:r>
      <w:r w:rsidRPr="00942E0C">
        <w:rPr>
          <w:rFonts w:cs="Arial"/>
          <w:sz w:val="20"/>
          <w:szCs w:val="20"/>
        </w:rPr>
        <w:t>benefits.</w:t>
      </w:r>
    </w:p>
    <w:p w:rsidR="00E61AD4" w:rsidRDefault="00E61AD4" w:rsidP="00E61A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9C5A5F" w:rsidRPr="00942E0C" w:rsidRDefault="00E61AD4" w:rsidP="00583C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 w:rsidRPr="00942E0C">
        <w:rPr>
          <w:rFonts w:cs="Arial"/>
          <w:b/>
          <w:bCs/>
          <w:sz w:val="20"/>
          <w:szCs w:val="20"/>
        </w:rPr>
        <w:t xml:space="preserve"> </w:t>
      </w:r>
      <w:r w:rsidR="009C5A5F" w:rsidRPr="00583C5B">
        <w:rPr>
          <w:rFonts w:cs="Arial"/>
          <w:b/>
          <w:bCs/>
          <w:color w:val="76923C" w:themeColor="accent3" w:themeShade="BF"/>
          <w:sz w:val="24"/>
          <w:szCs w:val="24"/>
        </w:rPr>
        <w:t>Road Vehicle Loans</w:t>
      </w:r>
      <w:r w:rsidR="00583C5B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1F149F" w:rsidRPr="00942E0C" w:rsidRDefault="009C5A5F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ENEC employees who have completed the probation pe</w:t>
      </w:r>
      <w:r w:rsidR="00583C5B">
        <w:rPr>
          <w:rFonts w:cs="Arial"/>
          <w:sz w:val="20"/>
          <w:szCs w:val="20"/>
        </w:rPr>
        <w:t xml:space="preserve">riod and have been confirmed as </w:t>
      </w:r>
      <w:r w:rsidRPr="00942E0C">
        <w:rPr>
          <w:rFonts w:cs="Arial"/>
          <w:sz w:val="20"/>
          <w:szCs w:val="20"/>
        </w:rPr>
        <w:t>permanent employees are entitled to interest-free road vehicle loans, subject to the value of the</w:t>
      </w:r>
      <w:r w:rsidR="00583C5B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loan not exceeding their entitlement</w:t>
      </w:r>
      <w:r w:rsidR="00583C5B">
        <w:rPr>
          <w:rFonts w:cs="Arial"/>
          <w:sz w:val="20"/>
          <w:szCs w:val="20"/>
        </w:rPr>
        <w:t>.</w:t>
      </w:r>
    </w:p>
    <w:p w:rsidR="001F149F" w:rsidRPr="00942E0C" w:rsidRDefault="001F149F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2. Road vehicle loans shall be repaid in equal installments over a maximum period of sixty (60)</w:t>
      </w:r>
      <w:r w:rsidR="00583C5B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months. The installments are automatically deducted from the employee’s monthly salary until</w:t>
      </w:r>
      <w:r w:rsidR="00583C5B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the full amount of the loan has b</w:t>
      </w:r>
      <w:r w:rsidR="00583C5B">
        <w:rPr>
          <w:rFonts w:cs="Arial"/>
          <w:sz w:val="20"/>
          <w:szCs w:val="20"/>
        </w:rPr>
        <w:t xml:space="preserve">een repaid. </w:t>
      </w:r>
    </w:p>
    <w:p w:rsidR="001F149F" w:rsidRDefault="00583C5B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1F149F" w:rsidRPr="00942E0C">
        <w:rPr>
          <w:rFonts w:cs="Arial"/>
          <w:sz w:val="20"/>
          <w:szCs w:val="20"/>
        </w:rPr>
        <w:t>. Loans can be obtained for new and second hand road vehicles.</w:t>
      </w:r>
    </w:p>
    <w:p w:rsidR="00C934AE" w:rsidRDefault="00C934AE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C934AE" w:rsidRDefault="00C934AE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C934AE" w:rsidRDefault="00C934AE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C934AE" w:rsidRDefault="00C934AE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C934AE" w:rsidRPr="00942E0C" w:rsidRDefault="00C934AE" w:rsidP="00583C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  <w:sz w:val="20"/>
          <w:szCs w:val="20"/>
        </w:rPr>
      </w:pPr>
    </w:p>
    <w:p w:rsidR="001F149F" w:rsidRPr="00583C5B" w:rsidRDefault="001F149F" w:rsidP="00583C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583C5B">
        <w:rPr>
          <w:rFonts w:cs="Arial"/>
          <w:b/>
          <w:bCs/>
          <w:color w:val="76923C" w:themeColor="accent3" w:themeShade="BF"/>
          <w:sz w:val="24"/>
          <w:szCs w:val="24"/>
        </w:rPr>
        <w:lastRenderedPageBreak/>
        <w:t>Leaves</w:t>
      </w:r>
      <w:r w:rsidR="00583C5B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1F149F" w:rsidRPr="00942E0C" w:rsidRDefault="001F149F" w:rsidP="00A833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The following sections list in detail the policies for different types of le</w:t>
      </w:r>
      <w:r w:rsidR="00583C5B">
        <w:rPr>
          <w:rFonts w:cs="Arial"/>
          <w:sz w:val="20"/>
          <w:szCs w:val="20"/>
        </w:rPr>
        <w:t xml:space="preserve">ave. Note that any type of leave shall be </w:t>
      </w:r>
      <w:r w:rsidRPr="00942E0C">
        <w:rPr>
          <w:rFonts w:cs="Arial"/>
          <w:sz w:val="20"/>
          <w:szCs w:val="20"/>
        </w:rPr>
        <w:t>approved by the employee’s direct supervisor.</w:t>
      </w:r>
    </w:p>
    <w:p w:rsidR="001F149F" w:rsidRPr="00555211" w:rsidRDefault="001F149F" w:rsidP="0055521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:rsidR="001F149F" w:rsidRPr="00555211" w:rsidRDefault="001F149F" w:rsidP="009473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55211">
        <w:rPr>
          <w:rFonts w:cs="Arial"/>
          <w:b/>
          <w:bCs/>
          <w:color w:val="595959" w:themeColor="text1" w:themeTint="A6"/>
          <w:sz w:val="20"/>
          <w:szCs w:val="20"/>
        </w:rPr>
        <w:t>Annual Leave Entitlement</w:t>
      </w:r>
      <w:r w:rsidR="0094736F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1F149F" w:rsidRDefault="001F149F" w:rsidP="00A83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ENEC grants annual leave with full pay to all employee</w:t>
      </w:r>
      <w:r w:rsidR="00555211">
        <w:rPr>
          <w:rFonts w:cs="Arial"/>
          <w:sz w:val="20"/>
          <w:szCs w:val="20"/>
        </w:rPr>
        <w:t xml:space="preserve">s. The duration of annual </w:t>
      </w:r>
      <w:r w:rsidRPr="00942E0C">
        <w:rPr>
          <w:rFonts w:cs="Arial"/>
          <w:sz w:val="20"/>
          <w:szCs w:val="20"/>
        </w:rPr>
        <w:t>leave entitlement, for each calendar year, depend</w:t>
      </w:r>
      <w:r w:rsidR="00555211">
        <w:rPr>
          <w:rFonts w:cs="Arial"/>
          <w:sz w:val="20"/>
          <w:szCs w:val="20"/>
        </w:rPr>
        <w:t>ing on the employee’s grade, the annual leave varies between 26 to 36 working day</w:t>
      </w:r>
      <w:r w:rsidR="0094736F">
        <w:rPr>
          <w:rFonts w:cs="Arial"/>
          <w:sz w:val="20"/>
          <w:szCs w:val="20"/>
        </w:rPr>
        <w:t>s</w:t>
      </w:r>
      <w:r w:rsidR="00555211">
        <w:rPr>
          <w:rFonts w:cs="Arial"/>
          <w:sz w:val="20"/>
          <w:szCs w:val="20"/>
        </w:rPr>
        <w:t>.</w:t>
      </w:r>
    </w:p>
    <w:p w:rsidR="0094736F" w:rsidRPr="00942E0C" w:rsidRDefault="0094736F" w:rsidP="0055521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0BF1" w:rsidRPr="0094736F" w:rsidRDefault="00E90BF1" w:rsidP="009473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94736F">
        <w:rPr>
          <w:rFonts w:cs="Arial"/>
          <w:b/>
          <w:bCs/>
          <w:color w:val="595959" w:themeColor="text1" w:themeTint="A6"/>
          <w:sz w:val="20"/>
          <w:szCs w:val="20"/>
        </w:rPr>
        <w:t>Annual Leave Split</w:t>
      </w:r>
      <w:r w:rsidR="0094736F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E90BF1" w:rsidRDefault="00E90BF1" w:rsidP="0094736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Taking into consideration work require</w:t>
      </w:r>
      <w:r w:rsidR="00555211">
        <w:rPr>
          <w:rFonts w:cs="Arial"/>
          <w:sz w:val="20"/>
          <w:szCs w:val="20"/>
        </w:rPr>
        <w:t xml:space="preserve">ments and employees' wishes and </w:t>
      </w:r>
      <w:r w:rsidRPr="00942E0C">
        <w:rPr>
          <w:rFonts w:cs="Arial"/>
          <w:sz w:val="20"/>
          <w:szCs w:val="20"/>
        </w:rPr>
        <w:t>preferences, employees may split their leave during the course of the year.</w:t>
      </w:r>
      <w:r w:rsidR="00555211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Employees will, however, not be permitted t</w:t>
      </w:r>
      <w:r w:rsidR="0094736F">
        <w:rPr>
          <w:rFonts w:cs="Arial"/>
          <w:sz w:val="20"/>
          <w:szCs w:val="20"/>
        </w:rPr>
        <w:t xml:space="preserve">o proceed on annual leave for a </w:t>
      </w:r>
      <w:r w:rsidRPr="00942E0C">
        <w:rPr>
          <w:rFonts w:cs="Arial"/>
          <w:sz w:val="20"/>
          <w:szCs w:val="20"/>
        </w:rPr>
        <w:t>duration of more than thirty (30) working d</w:t>
      </w:r>
      <w:r w:rsidR="0094736F">
        <w:rPr>
          <w:rFonts w:cs="Arial"/>
          <w:sz w:val="20"/>
          <w:szCs w:val="20"/>
        </w:rPr>
        <w:t xml:space="preserve">ays at any one time, except for </w:t>
      </w:r>
      <w:r w:rsidRPr="00942E0C">
        <w:rPr>
          <w:rFonts w:cs="Arial"/>
          <w:sz w:val="20"/>
          <w:szCs w:val="20"/>
        </w:rPr>
        <w:t>unavoidable circumstances and following approval by their supervisor.</w:t>
      </w:r>
    </w:p>
    <w:p w:rsidR="0094736F" w:rsidRPr="00942E0C" w:rsidRDefault="0094736F" w:rsidP="0094736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0BF1" w:rsidRPr="0094736F" w:rsidRDefault="00E90BF1" w:rsidP="009473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94736F">
        <w:rPr>
          <w:rFonts w:cs="Arial"/>
          <w:b/>
          <w:bCs/>
          <w:color w:val="595959" w:themeColor="text1" w:themeTint="A6"/>
          <w:sz w:val="20"/>
          <w:szCs w:val="20"/>
        </w:rPr>
        <w:t>Advance Leave Pay</w:t>
      </w:r>
      <w:r w:rsidR="0094736F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E90BF1" w:rsidRPr="00942E0C" w:rsidRDefault="00E90BF1" w:rsidP="0094736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Employees who are proceeding on annual leav</w:t>
      </w:r>
      <w:r w:rsidR="0094736F">
        <w:rPr>
          <w:rFonts w:cs="Arial"/>
          <w:sz w:val="20"/>
          <w:szCs w:val="20"/>
        </w:rPr>
        <w:t xml:space="preserve">e will be entitled to one month </w:t>
      </w:r>
      <w:r w:rsidRPr="00942E0C">
        <w:rPr>
          <w:rFonts w:cs="Arial"/>
          <w:sz w:val="20"/>
          <w:szCs w:val="20"/>
        </w:rPr>
        <w:t>salary in advance only if the applied and accrued a</w:t>
      </w:r>
      <w:r w:rsidR="0094736F">
        <w:rPr>
          <w:rFonts w:cs="Arial"/>
          <w:sz w:val="20"/>
          <w:szCs w:val="20"/>
        </w:rPr>
        <w:t xml:space="preserve">nnual leave entitlement is five </w:t>
      </w:r>
      <w:r w:rsidRPr="00942E0C">
        <w:rPr>
          <w:rFonts w:cs="Arial"/>
          <w:sz w:val="20"/>
          <w:szCs w:val="20"/>
        </w:rPr>
        <w:t>(5) working days or more. In some ca</w:t>
      </w:r>
      <w:r w:rsidR="0094736F">
        <w:rPr>
          <w:rFonts w:cs="Arial"/>
          <w:sz w:val="20"/>
          <w:szCs w:val="20"/>
        </w:rPr>
        <w:t xml:space="preserve">ses, the employee has emergency </w:t>
      </w:r>
      <w:r w:rsidRPr="00942E0C">
        <w:rPr>
          <w:rFonts w:cs="Arial"/>
          <w:sz w:val="20"/>
          <w:szCs w:val="20"/>
        </w:rPr>
        <w:t>circumstances in which he/she requires an adva</w:t>
      </w:r>
      <w:r w:rsidR="0094736F">
        <w:rPr>
          <w:rFonts w:cs="Arial"/>
          <w:sz w:val="20"/>
          <w:szCs w:val="20"/>
        </w:rPr>
        <w:t xml:space="preserve">nce salary, HR Director has the </w:t>
      </w:r>
      <w:r w:rsidRPr="00942E0C">
        <w:rPr>
          <w:rFonts w:cs="Arial"/>
          <w:sz w:val="20"/>
          <w:szCs w:val="20"/>
        </w:rPr>
        <w:t>authority to evaluate and approve such emergency cases.</w:t>
      </w:r>
    </w:p>
    <w:p w:rsidR="00E90BF1" w:rsidRDefault="00E90BF1" w:rsidP="0094736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 xml:space="preserve">The employee shall submit the request at least two </w:t>
      </w:r>
      <w:r w:rsidR="0094736F">
        <w:rPr>
          <w:rFonts w:cs="Arial"/>
          <w:sz w:val="20"/>
          <w:szCs w:val="20"/>
        </w:rPr>
        <w:t xml:space="preserve">weeks prior to his/her leave or </w:t>
      </w:r>
      <w:r w:rsidRPr="00942E0C">
        <w:rPr>
          <w:rFonts w:cs="Arial"/>
          <w:sz w:val="20"/>
          <w:szCs w:val="20"/>
        </w:rPr>
        <w:t>prior to required date. Any salary in advance will only be given for one month only</w:t>
      </w:r>
      <w:r w:rsidR="0094736F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and when the employee completed his/her probation period successfully.</w:t>
      </w:r>
    </w:p>
    <w:p w:rsidR="0094736F" w:rsidRPr="00942E0C" w:rsidRDefault="0094736F" w:rsidP="0094736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0BF1" w:rsidRPr="0094736F" w:rsidRDefault="00E90BF1" w:rsidP="009473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94736F">
        <w:rPr>
          <w:rFonts w:cs="Arial"/>
          <w:b/>
          <w:bCs/>
          <w:color w:val="595959" w:themeColor="text1" w:themeTint="A6"/>
          <w:sz w:val="20"/>
          <w:szCs w:val="20"/>
        </w:rPr>
        <w:t>Credit Leave</w:t>
      </w:r>
      <w:r w:rsidR="0094736F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E90BF1" w:rsidRDefault="00E90BF1" w:rsidP="00942E0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91B88">
        <w:rPr>
          <w:rFonts w:cs="Arial"/>
          <w:b/>
          <w:bCs/>
          <w:color w:val="215868" w:themeColor="accent5" w:themeShade="80"/>
          <w:sz w:val="20"/>
          <w:szCs w:val="20"/>
        </w:rPr>
        <w:t>Working during Public Holidays</w:t>
      </w:r>
      <w:r w:rsidRPr="00091B88">
        <w:rPr>
          <w:rFonts w:cs="Arial"/>
          <w:b/>
          <w:bCs/>
          <w:sz w:val="20"/>
          <w:szCs w:val="20"/>
        </w:rPr>
        <w:t xml:space="preserve">: </w:t>
      </w:r>
      <w:r w:rsidR="00091B88" w:rsidRPr="00091B88">
        <w:rPr>
          <w:rFonts w:cs="Arial"/>
          <w:sz w:val="20"/>
          <w:szCs w:val="20"/>
        </w:rPr>
        <w:t>Employees,</w:t>
      </w:r>
      <w:r w:rsidRPr="00091B88">
        <w:rPr>
          <w:rFonts w:cs="Arial"/>
          <w:sz w:val="20"/>
          <w:szCs w:val="20"/>
        </w:rPr>
        <w:t xml:space="preserve"> who are required to work during public holidays, are eligible to have their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leave records credited in lieu of the number of days worked in which each day will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be credited with one day leave. Site based employees who are required to work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 xml:space="preserve">during public holidays at </w:t>
      </w:r>
      <w:proofErr w:type="spellStart"/>
      <w:r w:rsidR="00091B88" w:rsidRPr="00091B88">
        <w:rPr>
          <w:rFonts w:cs="Arial"/>
          <w:sz w:val="20"/>
          <w:szCs w:val="20"/>
        </w:rPr>
        <w:t>Baraka</w:t>
      </w:r>
      <w:r w:rsidR="00091B88">
        <w:rPr>
          <w:rFonts w:cs="Arial"/>
          <w:sz w:val="20"/>
          <w:szCs w:val="20"/>
        </w:rPr>
        <w:t>h</w:t>
      </w:r>
      <w:proofErr w:type="spellEnd"/>
      <w:r w:rsidRPr="00091B88">
        <w:rPr>
          <w:rFonts w:cs="Arial"/>
          <w:sz w:val="20"/>
          <w:szCs w:val="20"/>
        </w:rPr>
        <w:t xml:space="preserve"> site, will get a 1.5 credit leave for each day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worked on a public holiday. The credit leave for days worked during public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holidays will be added to the annual leave balance and will follow the annual leave</w:t>
      </w:r>
      <w:r w:rsid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carry forward and leave encashment policy.</w:t>
      </w:r>
    </w:p>
    <w:p w:rsidR="00091B88" w:rsidRPr="00091B88" w:rsidRDefault="00091B88" w:rsidP="00091B88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  <w:sz w:val="20"/>
          <w:szCs w:val="20"/>
        </w:rPr>
      </w:pPr>
    </w:p>
    <w:p w:rsidR="00091B88" w:rsidRDefault="00E90BF1" w:rsidP="00091B8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91B88">
        <w:rPr>
          <w:rFonts w:cs="Arial"/>
          <w:b/>
          <w:bCs/>
          <w:color w:val="215868" w:themeColor="accent5" w:themeShade="80"/>
          <w:sz w:val="20"/>
          <w:szCs w:val="20"/>
        </w:rPr>
        <w:t>Business/Training Mission inside the UAE</w:t>
      </w:r>
      <w:r w:rsidRPr="00091B88">
        <w:rPr>
          <w:rFonts w:cs="Arial"/>
          <w:color w:val="215868" w:themeColor="accent5" w:themeShade="80"/>
          <w:sz w:val="20"/>
          <w:szCs w:val="20"/>
        </w:rPr>
        <w:t xml:space="preserve">: </w:t>
      </w:r>
      <w:r w:rsidRPr="00091B88">
        <w:rPr>
          <w:rFonts w:cs="Arial"/>
          <w:sz w:val="20"/>
          <w:szCs w:val="20"/>
        </w:rPr>
        <w:t>Employees who have to attend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business/training mission inside the UAE during a public holiday are entitled to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credit leave in lieu of public holidays. The credit leave for days worked during</w:t>
      </w:r>
      <w:r w:rsidR="00091B88" w:rsidRP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>public holidays will be added to the annual leave balance and will follow the</w:t>
      </w:r>
      <w:r w:rsidR="00091B88">
        <w:rPr>
          <w:rFonts w:cs="Arial"/>
          <w:sz w:val="20"/>
          <w:szCs w:val="20"/>
        </w:rPr>
        <w:t xml:space="preserve"> </w:t>
      </w:r>
      <w:r w:rsidRPr="00091B88">
        <w:rPr>
          <w:rFonts w:cs="Arial"/>
          <w:sz w:val="20"/>
          <w:szCs w:val="20"/>
        </w:rPr>
        <w:t xml:space="preserve">annual leave carry forward and leave encashment policy. </w:t>
      </w:r>
    </w:p>
    <w:p w:rsidR="00091B88" w:rsidRPr="00091B88" w:rsidRDefault="00091B88" w:rsidP="00091B88">
      <w:pPr>
        <w:pStyle w:val="ListParagraph"/>
        <w:rPr>
          <w:rFonts w:cs="Arial"/>
          <w:sz w:val="20"/>
          <w:szCs w:val="20"/>
        </w:rPr>
      </w:pPr>
    </w:p>
    <w:p w:rsidR="00E90BF1" w:rsidRPr="00A833DB" w:rsidRDefault="00E90BF1" w:rsidP="00A833D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A7172D">
        <w:rPr>
          <w:rFonts w:cs="Arial"/>
          <w:b/>
          <w:bCs/>
          <w:color w:val="215868" w:themeColor="accent5" w:themeShade="80"/>
          <w:sz w:val="20"/>
          <w:szCs w:val="20"/>
        </w:rPr>
        <w:t>Business/training Mission outside the UAE</w:t>
      </w:r>
      <w:r w:rsidRPr="00A7172D">
        <w:rPr>
          <w:rFonts w:cs="Arial"/>
          <w:color w:val="215868" w:themeColor="accent5" w:themeShade="80"/>
          <w:sz w:val="20"/>
          <w:szCs w:val="20"/>
        </w:rPr>
        <w:t>:</w:t>
      </w:r>
      <w:r w:rsidRPr="00A7172D">
        <w:rPr>
          <w:rFonts w:cs="Arial"/>
          <w:sz w:val="20"/>
          <w:szCs w:val="20"/>
        </w:rPr>
        <w:t xml:space="preserve"> Employees on mission outside the</w:t>
      </w:r>
      <w:r w:rsidR="00A833DB">
        <w:rPr>
          <w:rFonts w:cs="Arial"/>
          <w:sz w:val="20"/>
          <w:szCs w:val="20"/>
        </w:rPr>
        <w:t xml:space="preserve"> </w:t>
      </w:r>
      <w:r w:rsidRPr="00A833DB">
        <w:rPr>
          <w:rFonts w:cs="Arial"/>
          <w:sz w:val="20"/>
          <w:szCs w:val="20"/>
        </w:rPr>
        <w:t>UAE are eligible to have their leave records credited</w:t>
      </w:r>
      <w:r w:rsidR="00A7172D" w:rsidRPr="00A833DB">
        <w:rPr>
          <w:rFonts w:cs="Arial"/>
          <w:sz w:val="20"/>
          <w:szCs w:val="20"/>
        </w:rPr>
        <w:t xml:space="preserve"> in lieu of UAE public holidays </w:t>
      </w:r>
      <w:r w:rsidRPr="00A833DB">
        <w:rPr>
          <w:rFonts w:cs="Arial"/>
          <w:sz w:val="20"/>
          <w:szCs w:val="20"/>
        </w:rPr>
        <w:t>occurring during the mission regardless if it fal</w:t>
      </w:r>
      <w:r w:rsidR="00A7172D" w:rsidRPr="00A833DB">
        <w:rPr>
          <w:rFonts w:cs="Arial"/>
          <w:sz w:val="20"/>
          <w:szCs w:val="20"/>
        </w:rPr>
        <w:t xml:space="preserve">ls during weekend/site schedule </w:t>
      </w:r>
      <w:r w:rsidRPr="00A833DB">
        <w:rPr>
          <w:rFonts w:cs="Arial"/>
          <w:sz w:val="20"/>
          <w:szCs w:val="20"/>
        </w:rPr>
        <w:t>rest day or not</w:t>
      </w:r>
      <w:r w:rsidR="00A7172D" w:rsidRPr="00A833DB">
        <w:rPr>
          <w:rFonts w:cs="Arial"/>
          <w:sz w:val="20"/>
          <w:szCs w:val="20"/>
        </w:rPr>
        <w:t xml:space="preserve">. </w:t>
      </w:r>
    </w:p>
    <w:p w:rsidR="00A7172D" w:rsidRPr="00942E0C" w:rsidRDefault="00A7172D" w:rsidP="00A7172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0BF1" w:rsidRPr="00A7172D" w:rsidRDefault="00E90BF1" w:rsidP="00A717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A7172D">
        <w:rPr>
          <w:rFonts w:cs="Arial"/>
          <w:b/>
          <w:bCs/>
          <w:color w:val="595959" w:themeColor="text1" w:themeTint="A6"/>
          <w:sz w:val="20"/>
          <w:szCs w:val="20"/>
        </w:rPr>
        <w:t>Accumulation/Carry forward of Annual Leave</w:t>
      </w:r>
      <w:r w:rsidR="00A7172D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A7172D" w:rsidRDefault="00E90BF1" w:rsidP="00A7172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Employees are allowed to carry forward ten l</w:t>
      </w:r>
      <w:r w:rsidR="00A7172D">
        <w:rPr>
          <w:rFonts w:cs="Arial"/>
          <w:sz w:val="20"/>
          <w:szCs w:val="20"/>
        </w:rPr>
        <w:t xml:space="preserve">eave days in their annual leave </w:t>
      </w:r>
      <w:r w:rsidRPr="00942E0C">
        <w:rPr>
          <w:rFonts w:cs="Arial"/>
          <w:sz w:val="20"/>
          <w:szCs w:val="20"/>
        </w:rPr>
        <w:t xml:space="preserve">balance from year to year. </w:t>
      </w:r>
    </w:p>
    <w:p w:rsidR="00A7172D" w:rsidRDefault="00A7172D" w:rsidP="00A7172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E90BF1" w:rsidRPr="00A7172D" w:rsidRDefault="00E90BF1" w:rsidP="00A717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A7172D">
        <w:rPr>
          <w:rFonts w:cs="Arial"/>
          <w:b/>
          <w:bCs/>
          <w:color w:val="595959" w:themeColor="text1" w:themeTint="A6"/>
          <w:sz w:val="20"/>
          <w:szCs w:val="20"/>
        </w:rPr>
        <w:t>Leave Encashment</w:t>
      </w:r>
      <w:r w:rsidR="00A7172D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E90BF1" w:rsidRPr="00942E0C" w:rsidRDefault="00E90BF1" w:rsidP="00A7172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 xml:space="preserve">Unused leave that is not carried forward into the next </w:t>
      </w:r>
      <w:r w:rsidR="00A7172D">
        <w:rPr>
          <w:rFonts w:cs="Arial"/>
          <w:sz w:val="20"/>
          <w:szCs w:val="20"/>
        </w:rPr>
        <w:t xml:space="preserve">year may be en-cashed </w:t>
      </w:r>
      <w:r w:rsidRPr="00942E0C">
        <w:rPr>
          <w:rFonts w:cs="Arial"/>
          <w:sz w:val="20"/>
          <w:szCs w:val="20"/>
        </w:rPr>
        <w:t>on the basis of basic salary, only after the close of the relevant calendar year.</w:t>
      </w:r>
    </w:p>
    <w:p w:rsidR="00E90BF1" w:rsidRDefault="00E90BF1" w:rsidP="00942E0C">
      <w:pPr>
        <w:jc w:val="both"/>
        <w:rPr>
          <w:rFonts w:cs="Arial"/>
          <w:sz w:val="20"/>
          <w:szCs w:val="20"/>
        </w:rPr>
      </w:pPr>
    </w:p>
    <w:p w:rsidR="00685EC8" w:rsidRPr="00942E0C" w:rsidRDefault="00685EC8" w:rsidP="00942E0C">
      <w:pPr>
        <w:jc w:val="both"/>
        <w:rPr>
          <w:rFonts w:cs="Arial"/>
          <w:sz w:val="20"/>
          <w:szCs w:val="20"/>
        </w:rPr>
      </w:pPr>
    </w:p>
    <w:p w:rsidR="006A4E7C" w:rsidRPr="00942E0C" w:rsidRDefault="006A4E7C" w:rsidP="00942E0C">
      <w:pPr>
        <w:jc w:val="both"/>
        <w:rPr>
          <w:rFonts w:cs="Arial"/>
          <w:sz w:val="20"/>
          <w:szCs w:val="20"/>
        </w:rPr>
      </w:pPr>
    </w:p>
    <w:p w:rsidR="006A4E7C" w:rsidRPr="005E42EE" w:rsidRDefault="006A4E7C" w:rsidP="005E42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E42EE">
        <w:rPr>
          <w:rFonts w:cs="Arial"/>
          <w:b/>
          <w:bCs/>
          <w:color w:val="595959" w:themeColor="text1" w:themeTint="A6"/>
          <w:sz w:val="20"/>
          <w:szCs w:val="20"/>
        </w:rPr>
        <w:t>Work Injury Leave</w:t>
      </w:r>
      <w:r w:rsidR="00685EC8" w:rsidRPr="005E42EE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6A4E7C" w:rsidRPr="00942E0C" w:rsidRDefault="006A4E7C" w:rsidP="00A83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A work injury is defined as a job-related disabling injury or illness.</w:t>
      </w:r>
    </w:p>
    <w:p w:rsidR="006A4E7C" w:rsidRPr="00942E0C" w:rsidRDefault="006A4E7C" w:rsidP="00A83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2. Any work injury must be reported to HR as soon as possible.</w:t>
      </w:r>
    </w:p>
    <w:p w:rsidR="006A4E7C" w:rsidRPr="00942E0C" w:rsidRDefault="006A4E7C" w:rsidP="00A83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3. Eligibility for work injury leave for all E</w:t>
      </w:r>
      <w:r w:rsidR="00685EC8">
        <w:rPr>
          <w:rFonts w:cs="Arial"/>
          <w:sz w:val="20"/>
          <w:szCs w:val="20"/>
        </w:rPr>
        <w:t xml:space="preserve">NEC employees is subject to the </w:t>
      </w:r>
      <w:r w:rsidRPr="00942E0C">
        <w:rPr>
          <w:rFonts w:cs="Arial"/>
          <w:sz w:val="20"/>
          <w:szCs w:val="20"/>
        </w:rPr>
        <w:t>validation of the designated medical authority and the evaluation and</w:t>
      </w:r>
      <w:r w:rsidR="00685EC8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recommendation of the healthcare insu</w:t>
      </w:r>
      <w:r w:rsidR="00685EC8">
        <w:rPr>
          <w:rFonts w:cs="Arial"/>
          <w:sz w:val="20"/>
          <w:szCs w:val="20"/>
        </w:rPr>
        <w:t xml:space="preserve">rance company, Abu Dhabi Health </w:t>
      </w:r>
      <w:r w:rsidRPr="00942E0C">
        <w:rPr>
          <w:rFonts w:cs="Arial"/>
          <w:sz w:val="20"/>
          <w:szCs w:val="20"/>
        </w:rPr>
        <w:t>Authority, and ENEC (if appropriate).</w:t>
      </w:r>
    </w:p>
    <w:p w:rsidR="006A4E7C" w:rsidRPr="00942E0C" w:rsidRDefault="006A4E7C" w:rsidP="00A833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4. Work injury leave entitlement and pa</w:t>
      </w:r>
      <w:r w:rsidR="00685EC8">
        <w:rPr>
          <w:rFonts w:cs="Arial"/>
          <w:sz w:val="20"/>
          <w:szCs w:val="20"/>
        </w:rPr>
        <w:t xml:space="preserve">yment during leave for all ENEC </w:t>
      </w:r>
      <w:r w:rsidRPr="00942E0C">
        <w:rPr>
          <w:rFonts w:cs="Arial"/>
          <w:sz w:val="20"/>
          <w:szCs w:val="20"/>
        </w:rPr>
        <w:t>employees is as follows:</w:t>
      </w:r>
    </w:p>
    <w:p w:rsidR="005E42EE" w:rsidRPr="00942E0C" w:rsidRDefault="006A4E7C" w:rsidP="00A833DB">
      <w:pPr>
        <w:jc w:val="both"/>
        <w:rPr>
          <w:rFonts w:cs="Arial"/>
          <w:sz w:val="20"/>
          <w:szCs w:val="20"/>
        </w:rPr>
      </w:pPr>
      <w:r w:rsidRPr="00942E0C">
        <w:rPr>
          <w:rFonts w:cs="Arial"/>
          <w:noProof/>
          <w:sz w:val="20"/>
          <w:szCs w:val="20"/>
        </w:rPr>
        <w:drawing>
          <wp:inline distT="0" distB="0" distL="0" distR="0" wp14:anchorId="674DCC61" wp14:editId="2EA69781">
            <wp:extent cx="5943600" cy="12052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7C" w:rsidRPr="005E42EE" w:rsidRDefault="006A4E7C" w:rsidP="005E42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E42EE">
        <w:rPr>
          <w:rFonts w:cs="Arial"/>
          <w:b/>
          <w:bCs/>
          <w:color w:val="595959" w:themeColor="text1" w:themeTint="A6"/>
          <w:sz w:val="20"/>
          <w:szCs w:val="20"/>
        </w:rPr>
        <w:t>Maternity Leave</w:t>
      </w:r>
      <w:r w:rsidR="005E42EE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6A4E7C" w:rsidRPr="00942E0C" w:rsidRDefault="005E42EE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6A4E7C" w:rsidRPr="00942E0C">
        <w:rPr>
          <w:rFonts w:cs="Arial"/>
          <w:sz w:val="20"/>
          <w:szCs w:val="20"/>
        </w:rPr>
        <w:t>A female employee who has completed her probation per</w:t>
      </w:r>
      <w:r>
        <w:rPr>
          <w:rFonts w:cs="Arial"/>
          <w:sz w:val="20"/>
          <w:szCs w:val="20"/>
        </w:rPr>
        <w:t xml:space="preserve">iod shall be eligible for forty </w:t>
      </w:r>
      <w:r w:rsidR="006A4E7C" w:rsidRPr="00942E0C">
        <w:rPr>
          <w:rFonts w:cs="Arial"/>
          <w:sz w:val="20"/>
          <w:szCs w:val="20"/>
        </w:rPr>
        <w:t>five (45) calendar days’ maternity leave with full pay, to include the prenatal and</w:t>
      </w:r>
      <w:r>
        <w:rPr>
          <w:rFonts w:cs="Arial"/>
          <w:sz w:val="20"/>
          <w:szCs w:val="20"/>
        </w:rPr>
        <w:t xml:space="preserve"> </w:t>
      </w:r>
      <w:r w:rsidR="006A4E7C" w:rsidRPr="00942E0C">
        <w:rPr>
          <w:rFonts w:cs="Arial"/>
          <w:sz w:val="20"/>
          <w:szCs w:val="20"/>
        </w:rPr>
        <w:t xml:space="preserve">postnatal periods. </w:t>
      </w:r>
    </w:p>
    <w:p w:rsidR="006A4E7C" w:rsidRPr="00942E0C" w:rsidRDefault="005E42EE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 w:rsidR="006A4E7C" w:rsidRPr="00942E0C">
        <w:rPr>
          <w:rFonts w:cs="Arial"/>
          <w:sz w:val="20"/>
          <w:szCs w:val="20"/>
        </w:rPr>
        <w:t xml:space="preserve">. A female employee nursing her child is entitled to time </w:t>
      </w:r>
      <w:r>
        <w:rPr>
          <w:rFonts w:cs="Arial"/>
          <w:sz w:val="20"/>
          <w:szCs w:val="20"/>
        </w:rPr>
        <w:t xml:space="preserve">off not exceeding two hours per </w:t>
      </w:r>
      <w:r w:rsidR="006A4E7C" w:rsidRPr="00942E0C">
        <w:rPr>
          <w:rFonts w:cs="Arial"/>
          <w:sz w:val="20"/>
          <w:szCs w:val="20"/>
        </w:rPr>
        <w:t>day during the eighteen (18) months following her delivery.</w:t>
      </w:r>
    </w:p>
    <w:p w:rsidR="005E42EE" w:rsidRDefault="005E42EE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6A4E7C" w:rsidRPr="005E42EE" w:rsidRDefault="006A4E7C" w:rsidP="005E42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E42EE">
        <w:rPr>
          <w:rFonts w:cs="Arial"/>
          <w:b/>
          <w:bCs/>
          <w:color w:val="595959" w:themeColor="text1" w:themeTint="A6"/>
          <w:sz w:val="20"/>
          <w:szCs w:val="20"/>
        </w:rPr>
        <w:t>Paternity Leave</w:t>
      </w:r>
      <w:r w:rsidR="005E42EE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6A4E7C" w:rsidRDefault="005E42EE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Male employee </w:t>
      </w:r>
      <w:r w:rsidRPr="00942E0C">
        <w:rPr>
          <w:rFonts w:cs="Arial"/>
          <w:sz w:val="20"/>
          <w:szCs w:val="20"/>
        </w:rPr>
        <w:t>is</w:t>
      </w:r>
      <w:r w:rsidR="006A4E7C" w:rsidRPr="00942E0C">
        <w:rPr>
          <w:rFonts w:cs="Arial"/>
          <w:sz w:val="20"/>
          <w:szCs w:val="20"/>
        </w:rPr>
        <w:t xml:space="preserve"> eligible for leave with full pay for three (3) working days in the event</w:t>
      </w:r>
      <w:r>
        <w:rPr>
          <w:rFonts w:cs="Arial"/>
          <w:sz w:val="20"/>
          <w:szCs w:val="20"/>
        </w:rPr>
        <w:t xml:space="preserve"> </w:t>
      </w:r>
      <w:r w:rsidR="006A4E7C" w:rsidRPr="00942E0C">
        <w:rPr>
          <w:rFonts w:cs="Arial"/>
          <w:sz w:val="20"/>
          <w:szCs w:val="20"/>
        </w:rPr>
        <w:t>that a child is born to them.</w:t>
      </w:r>
    </w:p>
    <w:p w:rsidR="005E42EE" w:rsidRPr="00942E0C" w:rsidRDefault="005E42EE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:rsidR="00BD5EDD" w:rsidRPr="005E42EE" w:rsidRDefault="00BD5EDD" w:rsidP="005E42E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E42EE">
        <w:rPr>
          <w:rFonts w:cs="Arial"/>
          <w:b/>
          <w:bCs/>
          <w:color w:val="595959" w:themeColor="text1" w:themeTint="A6"/>
          <w:sz w:val="20"/>
          <w:szCs w:val="20"/>
        </w:rPr>
        <w:t>Marriage Leave</w:t>
      </w:r>
      <w:r w:rsidR="005E42EE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BD5EDD" w:rsidRPr="00942E0C" w:rsidRDefault="00BD5EDD" w:rsidP="005E42E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 xml:space="preserve">All ENEC employees who have completed their probation </w:t>
      </w:r>
      <w:r w:rsidR="00D7229A" w:rsidRPr="00942E0C">
        <w:rPr>
          <w:rFonts w:cs="Arial"/>
          <w:sz w:val="20"/>
          <w:szCs w:val="20"/>
        </w:rPr>
        <w:t>pe</w:t>
      </w:r>
      <w:r w:rsidR="00D7229A">
        <w:rPr>
          <w:rFonts w:cs="Arial"/>
          <w:sz w:val="20"/>
          <w:szCs w:val="20"/>
        </w:rPr>
        <w:t>riod</w:t>
      </w:r>
      <w:r w:rsidR="005E42EE">
        <w:rPr>
          <w:rFonts w:cs="Arial"/>
          <w:sz w:val="20"/>
          <w:szCs w:val="20"/>
        </w:rPr>
        <w:t xml:space="preserve"> are entitled to three (3) </w:t>
      </w:r>
      <w:r w:rsidRPr="00942E0C">
        <w:rPr>
          <w:rFonts w:cs="Arial"/>
          <w:sz w:val="20"/>
          <w:szCs w:val="20"/>
        </w:rPr>
        <w:t>working days’ paid leave once during their period of service at ENEC, for their own legal</w:t>
      </w:r>
      <w:r w:rsidR="005E42EE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marriage.</w:t>
      </w:r>
    </w:p>
    <w:p w:rsidR="00D7229A" w:rsidRDefault="00D7229A" w:rsidP="00D722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</w:p>
    <w:p w:rsidR="00BD5EDD" w:rsidRPr="00D7229A" w:rsidRDefault="00BD5EDD" w:rsidP="00D722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D7229A">
        <w:rPr>
          <w:rFonts w:cs="Arial"/>
          <w:b/>
          <w:bCs/>
          <w:color w:val="595959" w:themeColor="text1" w:themeTint="A6"/>
          <w:sz w:val="20"/>
          <w:szCs w:val="20"/>
        </w:rPr>
        <w:t>Compassionate Leave</w:t>
      </w:r>
      <w:r w:rsidR="00D7229A">
        <w:rPr>
          <w:rFonts w:cs="Arial"/>
          <w:b/>
          <w:bCs/>
          <w:color w:val="595959" w:themeColor="text1" w:themeTint="A6"/>
          <w:sz w:val="20"/>
          <w:szCs w:val="20"/>
        </w:rPr>
        <w:t>:</w:t>
      </w:r>
    </w:p>
    <w:p w:rsidR="00BD5EDD" w:rsidRPr="00942E0C" w:rsidRDefault="00BD5EDD" w:rsidP="00D7229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Compassionate leave is defined as leave in the event of</w:t>
      </w:r>
      <w:r w:rsidR="00D7229A">
        <w:rPr>
          <w:rFonts w:cs="Arial"/>
          <w:sz w:val="20"/>
          <w:szCs w:val="20"/>
        </w:rPr>
        <w:t xml:space="preserve"> the death or imminent death of </w:t>
      </w:r>
      <w:r w:rsidRPr="00942E0C">
        <w:rPr>
          <w:rFonts w:cs="Arial"/>
          <w:sz w:val="20"/>
          <w:szCs w:val="20"/>
        </w:rPr>
        <w:t>an employee’s immediate relatives, which warrants special consideration of paid</w:t>
      </w:r>
      <w:r w:rsidR="00D7229A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absence from work.</w:t>
      </w:r>
    </w:p>
    <w:p w:rsidR="006A4E7C" w:rsidRPr="00942E0C" w:rsidRDefault="00BD5EDD" w:rsidP="00D7229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2. All ENEC employees are eligible for compassionate leav</w:t>
      </w:r>
      <w:r w:rsidR="00D7229A">
        <w:rPr>
          <w:rFonts w:cs="Arial"/>
          <w:sz w:val="20"/>
          <w:szCs w:val="20"/>
        </w:rPr>
        <w:t xml:space="preserve">e with full pay in the event of </w:t>
      </w:r>
      <w:r w:rsidRPr="00942E0C">
        <w:rPr>
          <w:rFonts w:cs="Arial"/>
          <w:sz w:val="20"/>
          <w:szCs w:val="20"/>
        </w:rPr>
        <w:t>the death or imminent death of an immediate relative. The entitlement and conditions</w:t>
      </w:r>
      <w:r w:rsidR="00D7229A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are given below:</w:t>
      </w:r>
    </w:p>
    <w:p w:rsidR="00BD5EDD" w:rsidRPr="00942E0C" w:rsidRDefault="00BD5EDD" w:rsidP="00942E0C">
      <w:pPr>
        <w:jc w:val="both"/>
      </w:pPr>
      <w:r w:rsidRPr="00942E0C">
        <w:rPr>
          <w:noProof/>
        </w:rPr>
        <w:drawing>
          <wp:inline distT="0" distB="0" distL="0" distR="0" wp14:anchorId="04EEC4A9" wp14:editId="56FB2AE9">
            <wp:extent cx="5943600" cy="1298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DD" w:rsidRPr="00942E0C" w:rsidRDefault="00BD5EDD" w:rsidP="00942E0C">
      <w:pPr>
        <w:jc w:val="both"/>
      </w:pPr>
      <w:r w:rsidRPr="00942E0C">
        <w:rPr>
          <w:noProof/>
        </w:rPr>
        <w:lastRenderedPageBreak/>
        <w:drawing>
          <wp:inline distT="0" distB="0" distL="0" distR="0" wp14:anchorId="7CAA0A3A" wp14:editId="22574E41">
            <wp:extent cx="6047509" cy="1537854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509" cy="153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EDD" w:rsidRPr="00942E0C" w:rsidRDefault="00BD5EDD" w:rsidP="00942E0C">
      <w:pPr>
        <w:jc w:val="both"/>
        <w:rPr>
          <w:rFonts w:cs="Arial"/>
          <w:sz w:val="20"/>
          <w:szCs w:val="20"/>
        </w:rPr>
      </w:pPr>
    </w:p>
    <w:p w:rsidR="00BD5EDD" w:rsidRPr="00D7229A" w:rsidRDefault="00BD5EDD" w:rsidP="00D722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color w:val="76923C" w:themeColor="accent3" w:themeShade="BF"/>
          <w:sz w:val="24"/>
          <w:szCs w:val="24"/>
        </w:rPr>
      </w:pPr>
      <w:r w:rsidRPr="00D7229A">
        <w:rPr>
          <w:rFonts w:cs="Arial"/>
          <w:b/>
          <w:bCs/>
          <w:color w:val="76923C" w:themeColor="accent3" w:themeShade="BF"/>
          <w:sz w:val="24"/>
          <w:szCs w:val="24"/>
        </w:rPr>
        <w:t>TRAINING AND BUSINESS MISSIONS</w:t>
      </w:r>
      <w:r w:rsidR="00D7229A">
        <w:rPr>
          <w:rFonts w:cs="Arial"/>
          <w:b/>
          <w:bCs/>
          <w:color w:val="76923C" w:themeColor="accent3" w:themeShade="BF"/>
          <w:sz w:val="24"/>
          <w:szCs w:val="24"/>
        </w:rPr>
        <w:t>:</w:t>
      </w:r>
    </w:p>
    <w:p w:rsidR="00BD5EDD" w:rsidRPr="00942E0C" w:rsidRDefault="00BD5EDD" w:rsidP="00E929E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1. ENEC covers business and training mission expenses for EN</w:t>
      </w:r>
      <w:r w:rsidR="00D7229A">
        <w:rPr>
          <w:rFonts w:cs="Arial"/>
          <w:sz w:val="20"/>
          <w:szCs w:val="20"/>
        </w:rPr>
        <w:t xml:space="preserve">EC employees who are authorized </w:t>
      </w:r>
      <w:r w:rsidRPr="00942E0C">
        <w:rPr>
          <w:rFonts w:cs="Arial"/>
          <w:sz w:val="20"/>
          <w:szCs w:val="20"/>
        </w:rPr>
        <w:t>to attend business and training missions. Training includes courses, professional certifications,</w:t>
      </w:r>
      <w:r w:rsidR="00D7229A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>conferences, seminars, workshops, forums or any other session/class for which there are</w:t>
      </w:r>
      <w:r w:rsidR="00D7229A">
        <w:rPr>
          <w:rFonts w:cs="Arial"/>
          <w:sz w:val="20"/>
          <w:szCs w:val="20"/>
        </w:rPr>
        <w:t xml:space="preserve"> </w:t>
      </w:r>
      <w:r w:rsidRPr="00942E0C">
        <w:rPr>
          <w:rFonts w:cs="Arial"/>
          <w:sz w:val="20"/>
          <w:szCs w:val="20"/>
        </w:rPr>
        <w:t xml:space="preserve">registration and/or attendance fees. </w:t>
      </w:r>
    </w:p>
    <w:p w:rsidR="00BD5EDD" w:rsidRPr="00942E0C" w:rsidRDefault="00BD5EDD" w:rsidP="00E929E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 w:rsidRPr="00942E0C">
        <w:rPr>
          <w:rFonts w:cs="Arial"/>
          <w:sz w:val="20"/>
          <w:szCs w:val="20"/>
        </w:rPr>
        <w:t>2. Business and training missions ca</w:t>
      </w:r>
      <w:r w:rsidR="00D7229A">
        <w:rPr>
          <w:rFonts w:cs="Arial"/>
          <w:sz w:val="20"/>
          <w:szCs w:val="20"/>
        </w:rPr>
        <w:t>n be inside or outside the UAE.</w:t>
      </w:r>
    </w:p>
    <w:p w:rsidR="00BD5EDD" w:rsidRPr="00942E0C" w:rsidRDefault="00D7229A" w:rsidP="00E929E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BD5EDD" w:rsidRPr="00942E0C">
        <w:rPr>
          <w:rFonts w:cs="Arial"/>
          <w:sz w:val="20"/>
          <w:szCs w:val="20"/>
        </w:rPr>
        <w:t>. The employee commissioned for a mission shall receive</w:t>
      </w:r>
      <w:r>
        <w:rPr>
          <w:rFonts w:cs="Arial"/>
          <w:sz w:val="20"/>
          <w:szCs w:val="20"/>
        </w:rPr>
        <w:t xml:space="preserve"> a daily per </w:t>
      </w:r>
      <w:r w:rsidR="00E36C61">
        <w:rPr>
          <w:rFonts w:cs="Arial"/>
          <w:sz w:val="20"/>
          <w:szCs w:val="20"/>
        </w:rPr>
        <w:t>Diem</w:t>
      </w:r>
      <w:r>
        <w:rPr>
          <w:rFonts w:cs="Arial"/>
          <w:sz w:val="20"/>
          <w:szCs w:val="20"/>
        </w:rPr>
        <w:t xml:space="preserve"> allowance, as </w:t>
      </w:r>
      <w:r w:rsidR="00BD5EDD" w:rsidRPr="00942E0C">
        <w:rPr>
          <w:rFonts w:cs="Arial"/>
          <w:sz w:val="20"/>
          <w:szCs w:val="20"/>
        </w:rPr>
        <w:t xml:space="preserve">determined for his/her grade and according to the duration and location of the mission. </w:t>
      </w:r>
    </w:p>
    <w:p w:rsidR="00C2596F" w:rsidRPr="00942E0C" w:rsidRDefault="00DA5449" w:rsidP="00E929EB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BD5EDD" w:rsidRPr="00942E0C">
        <w:rPr>
          <w:rFonts w:cs="Arial"/>
          <w:sz w:val="20"/>
          <w:szCs w:val="20"/>
        </w:rPr>
        <w:t>. For business/training missions, ENEC provides air tickets (for outside UAE), accommod</w:t>
      </w:r>
      <w:r>
        <w:rPr>
          <w:rFonts w:cs="Arial"/>
          <w:sz w:val="20"/>
          <w:szCs w:val="20"/>
        </w:rPr>
        <w:t>ation</w:t>
      </w:r>
      <w:r w:rsidR="00BD5EDD" w:rsidRPr="00942E0C">
        <w:rPr>
          <w:rFonts w:cs="Arial"/>
          <w:sz w:val="20"/>
          <w:szCs w:val="20"/>
        </w:rPr>
        <w:t xml:space="preserve">, a per diem allowance, and visa costs coverage for overseas travel. </w:t>
      </w:r>
    </w:p>
    <w:p w:rsidR="00C2596F" w:rsidRPr="00942E0C" w:rsidRDefault="00C2596F" w:rsidP="00942E0C">
      <w:pPr>
        <w:jc w:val="both"/>
      </w:pPr>
    </w:p>
    <w:sectPr w:rsidR="00C2596F" w:rsidRPr="00942E0C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5F" w:rsidRDefault="00F6335F" w:rsidP="00891EB9">
      <w:pPr>
        <w:spacing w:after="0" w:line="240" w:lineRule="auto"/>
      </w:pPr>
      <w:r>
        <w:separator/>
      </w:r>
    </w:p>
  </w:endnote>
  <w:endnote w:type="continuationSeparator" w:id="0">
    <w:p w:rsidR="00F6335F" w:rsidRDefault="00F6335F" w:rsidP="0089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596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91EB9" w:rsidRDefault="00891E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3DB" w:rsidRPr="00A833D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91EB9" w:rsidRDefault="00891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5F" w:rsidRDefault="00F6335F" w:rsidP="00891EB9">
      <w:pPr>
        <w:spacing w:after="0" w:line="240" w:lineRule="auto"/>
      </w:pPr>
      <w:r>
        <w:separator/>
      </w:r>
    </w:p>
  </w:footnote>
  <w:footnote w:type="continuationSeparator" w:id="0">
    <w:p w:rsidR="00F6335F" w:rsidRDefault="00F6335F" w:rsidP="0089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B9" w:rsidRDefault="00891EB9" w:rsidP="00891EB9">
    <w:pPr>
      <w:pStyle w:val="Header"/>
      <w:jc w:val="right"/>
    </w:pPr>
    <w:r w:rsidRPr="0070051F">
      <w:rPr>
        <w:noProof/>
      </w:rPr>
      <w:drawing>
        <wp:inline distT="0" distB="0" distL="0" distR="0" wp14:anchorId="6E4FE7FE" wp14:editId="0A83DBB6">
          <wp:extent cx="2956316" cy="518117"/>
          <wp:effectExtent l="19050" t="0" r="0" b="0"/>
          <wp:docPr id="11" name="Picture 1" descr="ENEC_HeaderLogo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C_HeaderLogo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6316" cy="518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1EB9" w:rsidRDefault="00891E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40B5"/>
    <w:multiLevelType w:val="hybridMultilevel"/>
    <w:tmpl w:val="FEF0EC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E269A"/>
    <w:multiLevelType w:val="hybridMultilevel"/>
    <w:tmpl w:val="52EA3F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701699"/>
    <w:multiLevelType w:val="hybridMultilevel"/>
    <w:tmpl w:val="47A63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4D72"/>
    <w:multiLevelType w:val="hybridMultilevel"/>
    <w:tmpl w:val="9CA052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D3FB2"/>
    <w:multiLevelType w:val="hybridMultilevel"/>
    <w:tmpl w:val="9024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7060A"/>
    <w:multiLevelType w:val="hybridMultilevel"/>
    <w:tmpl w:val="C2E08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2C2784"/>
    <w:multiLevelType w:val="hybridMultilevel"/>
    <w:tmpl w:val="3ACE6C30"/>
    <w:lvl w:ilvl="0" w:tplc="633673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F388C"/>
    <w:multiLevelType w:val="hybridMultilevel"/>
    <w:tmpl w:val="40320A14"/>
    <w:lvl w:ilvl="0" w:tplc="429CA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C5522"/>
    <w:multiLevelType w:val="hybridMultilevel"/>
    <w:tmpl w:val="B6AA0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4457B5"/>
    <w:multiLevelType w:val="hybridMultilevel"/>
    <w:tmpl w:val="F2EE138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6C9514D"/>
    <w:multiLevelType w:val="hybridMultilevel"/>
    <w:tmpl w:val="BAC4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65C4C"/>
    <w:multiLevelType w:val="hybridMultilevel"/>
    <w:tmpl w:val="B1F6ACC4"/>
    <w:lvl w:ilvl="0" w:tplc="5B227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011A3E"/>
    <w:multiLevelType w:val="hybridMultilevel"/>
    <w:tmpl w:val="2F9CF42C"/>
    <w:lvl w:ilvl="0" w:tplc="6336738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0369EE"/>
    <w:multiLevelType w:val="hybridMultilevel"/>
    <w:tmpl w:val="1F6A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13323"/>
    <w:multiLevelType w:val="hybridMultilevel"/>
    <w:tmpl w:val="97B2F5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2B"/>
    <w:rsid w:val="00091B88"/>
    <w:rsid w:val="001635B2"/>
    <w:rsid w:val="001F149F"/>
    <w:rsid w:val="00456B85"/>
    <w:rsid w:val="00555211"/>
    <w:rsid w:val="00583C5B"/>
    <w:rsid w:val="005E42EE"/>
    <w:rsid w:val="00623A4A"/>
    <w:rsid w:val="00632D74"/>
    <w:rsid w:val="00685EC8"/>
    <w:rsid w:val="006A4E7C"/>
    <w:rsid w:val="00741A2B"/>
    <w:rsid w:val="0076183E"/>
    <w:rsid w:val="00782389"/>
    <w:rsid w:val="00891EB9"/>
    <w:rsid w:val="00942E0C"/>
    <w:rsid w:val="0094736F"/>
    <w:rsid w:val="009A7A59"/>
    <w:rsid w:val="009C5A5F"/>
    <w:rsid w:val="00A2322C"/>
    <w:rsid w:val="00A7172D"/>
    <w:rsid w:val="00A833DB"/>
    <w:rsid w:val="00BD5EDD"/>
    <w:rsid w:val="00C2596F"/>
    <w:rsid w:val="00C934AE"/>
    <w:rsid w:val="00CE07E0"/>
    <w:rsid w:val="00D7229A"/>
    <w:rsid w:val="00DA5449"/>
    <w:rsid w:val="00E36C61"/>
    <w:rsid w:val="00E61AD4"/>
    <w:rsid w:val="00E90BF1"/>
    <w:rsid w:val="00E929EB"/>
    <w:rsid w:val="00F6335F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B9"/>
  </w:style>
  <w:style w:type="paragraph" w:styleId="Footer">
    <w:name w:val="footer"/>
    <w:basedOn w:val="Normal"/>
    <w:link w:val="FooterChar"/>
    <w:uiPriority w:val="99"/>
    <w:unhideWhenUsed/>
    <w:rsid w:val="0089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A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B9"/>
  </w:style>
  <w:style w:type="paragraph" w:styleId="Footer">
    <w:name w:val="footer"/>
    <w:basedOn w:val="Normal"/>
    <w:link w:val="FooterChar"/>
    <w:uiPriority w:val="99"/>
    <w:unhideWhenUsed/>
    <w:rsid w:val="0089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2F037-3673-4226-8A0D-7C0AD39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Saif Al Zaabi</dc:creator>
  <cp:lastModifiedBy>Hasan Saif Al Zaabi</cp:lastModifiedBy>
  <cp:revision>2</cp:revision>
  <dcterms:created xsi:type="dcterms:W3CDTF">2014-05-14T01:19:00Z</dcterms:created>
  <dcterms:modified xsi:type="dcterms:W3CDTF">2014-05-14T01:19:00Z</dcterms:modified>
</cp:coreProperties>
</file>